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787"/>
        <w:gridCol w:w="4559"/>
      </w:tblGrid>
      <w:tr w:rsidR="00A91E35" w:rsidRPr="000A1B78" w:rsidTr="00875BD4">
        <w:tc>
          <w:tcPr>
            <w:tcW w:w="4787" w:type="dxa"/>
            <w:shd w:val="clear" w:color="auto" w:fill="E2EFD9" w:themeFill="accent6" w:themeFillTint="33"/>
          </w:tcPr>
          <w:p w:rsidR="00A91E35" w:rsidRPr="000A1B78" w:rsidRDefault="00A91E35" w:rsidP="00A91E35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 w:rsidRPr="000A1B78">
              <w:rPr>
                <w:rFonts w:cstheme="minorHAnsi"/>
                <w:sz w:val="20"/>
                <w:szCs w:val="20"/>
              </w:rPr>
              <w:t>FECHA DE ELABORACIÓN DEL INFORME</w:t>
            </w:r>
            <w:r w:rsidRPr="000A1B78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:rsidR="00A91E35" w:rsidRPr="000A1B78" w:rsidRDefault="0047123B" w:rsidP="00A91E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Agosto</w:t>
            </w:r>
            <w:r w:rsidR="00A91E35" w:rsidRPr="000A1B78">
              <w:rPr>
                <w:rFonts w:cstheme="minorHAnsi"/>
                <w:sz w:val="20"/>
                <w:szCs w:val="20"/>
              </w:rPr>
              <w:t xml:space="preserve"> de 2017</w:t>
            </w:r>
          </w:p>
        </w:tc>
        <w:tc>
          <w:tcPr>
            <w:tcW w:w="4559" w:type="dxa"/>
            <w:shd w:val="clear" w:color="auto" w:fill="E2EFD9" w:themeFill="accent6" w:themeFillTint="33"/>
          </w:tcPr>
          <w:p w:rsidR="00A91E35" w:rsidRPr="000A1B78" w:rsidRDefault="00A91E35" w:rsidP="00A91E35">
            <w:pPr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INFORME REALIZADO POR: Coordinación de Permanencia y Promoción Estudiantil.</w:t>
            </w:r>
          </w:p>
        </w:tc>
      </w:tr>
      <w:tr w:rsidR="00A91E35" w:rsidRPr="000A1B78" w:rsidTr="00875BD4">
        <w:tc>
          <w:tcPr>
            <w:tcW w:w="4787" w:type="dxa"/>
            <w:shd w:val="clear" w:color="auto" w:fill="E2EFD9" w:themeFill="accent6" w:themeFillTint="33"/>
          </w:tcPr>
          <w:p w:rsidR="00A91E35" w:rsidRPr="000A1B78" w:rsidRDefault="0047123B" w:rsidP="00C201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NÚMERO DE PARTICIPANTES:</w:t>
            </w:r>
            <w:r w:rsidR="00C201D1">
              <w:rPr>
                <w:rFonts w:cstheme="minorHAnsi"/>
                <w:sz w:val="20"/>
                <w:szCs w:val="20"/>
              </w:rPr>
              <w:t xml:space="preserve"> 611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91E35" w:rsidRPr="000A1B78">
              <w:rPr>
                <w:rFonts w:cstheme="minorHAnsi"/>
                <w:sz w:val="20"/>
                <w:szCs w:val="20"/>
              </w:rPr>
              <w:t xml:space="preserve"> estudiante</w:t>
            </w:r>
          </w:p>
        </w:tc>
        <w:tc>
          <w:tcPr>
            <w:tcW w:w="4559" w:type="dxa"/>
            <w:shd w:val="clear" w:color="auto" w:fill="E2EFD9" w:themeFill="accent6" w:themeFillTint="33"/>
          </w:tcPr>
          <w:p w:rsidR="00A91E35" w:rsidRPr="000A1B78" w:rsidRDefault="00875BD4" w:rsidP="00875BD4">
            <w:pPr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 xml:space="preserve">INFORMACIÓN BRINDADA POR: TICS UNIVERSITAS XXI ING. OMAR SARMIENTO  </w:t>
            </w:r>
          </w:p>
        </w:tc>
      </w:tr>
      <w:bookmarkEnd w:id="0"/>
    </w:tbl>
    <w:p w:rsidR="00A91E35" w:rsidRPr="000A1B78" w:rsidRDefault="00A91E35" w:rsidP="000511FF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p w:rsidR="000511FF" w:rsidRPr="000A1B78" w:rsidRDefault="003524CE" w:rsidP="000511FF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0A1B78">
        <w:rPr>
          <w:rFonts w:cstheme="minorHAnsi"/>
          <w:b/>
          <w:sz w:val="20"/>
          <w:szCs w:val="20"/>
        </w:rPr>
        <w:t xml:space="preserve">PROMEDIOS </w:t>
      </w:r>
      <w:r w:rsidR="00095B01" w:rsidRPr="000A1B78">
        <w:rPr>
          <w:rFonts w:cstheme="minorHAnsi"/>
          <w:b/>
          <w:sz w:val="20"/>
          <w:szCs w:val="20"/>
        </w:rPr>
        <w:t>PRUEBA SABER 11 POR PROGRAMA Y ÁREA</w:t>
      </w:r>
      <w:r w:rsidR="000511FF" w:rsidRPr="000A1B78">
        <w:rPr>
          <w:rFonts w:cstheme="minorHAnsi"/>
          <w:b/>
          <w:sz w:val="20"/>
          <w:szCs w:val="20"/>
        </w:rPr>
        <w:t xml:space="preserve"> </w:t>
      </w:r>
      <w:r w:rsidR="00095B01" w:rsidRPr="000A1B78">
        <w:rPr>
          <w:rFonts w:cstheme="minorHAnsi"/>
          <w:b/>
          <w:sz w:val="20"/>
          <w:szCs w:val="20"/>
        </w:rPr>
        <w:t>DEL CONOCIMIENTO</w:t>
      </w:r>
      <w:r w:rsidR="000511FF" w:rsidRPr="000A1B78">
        <w:rPr>
          <w:rFonts w:cstheme="minorHAnsi"/>
          <w:b/>
          <w:sz w:val="20"/>
          <w:szCs w:val="20"/>
        </w:rPr>
        <w:t xml:space="preserve"> </w:t>
      </w:r>
    </w:p>
    <w:p w:rsidR="00095B01" w:rsidRPr="000A1B78" w:rsidRDefault="000511FF" w:rsidP="0054799C">
      <w:pPr>
        <w:jc w:val="center"/>
        <w:rPr>
          <w:rFonts w:cstheme="minorHAnsi"/>
          <w:b/>
          <w:sz w:val="20"/>
          <w:szCs w:val="20"/>
        </w:rPr>
      </w:pPr>
      <w:r w:rsidRPr="000A1B78">
        <w:rPr>
          <w:rFonts w:cstheme="minorHAnsi"/>
          <w:b/>
          <w:sz w:val="20"/>
          <w:szCs w:val="20"/>
        </w:rPr>
        <w:t xml:space="preserve"> ESTUDIANTES QUE INGRESARON A I SEM</w:t>
      </w:r>
      <w:r w:rsidR="0082281C" w:rsidRPr="000A1B78">
        <w:rPr>
          <w:rFonts w:cstheme="minorHAnsi"/>
          <w:b/>
          <w:sz w:val="20"/>
          <w:szCs w:val="20"/>
        </w:rPr>
        <w:t>E</w:t>
      </w:r>
      <w:r w:rsidRPr="000A1B78">
        <w:rPr>
          <w:rFonts w:cstheme="minorHAnsi"/>
          <w:b/>
          <w:sz w:val="20"/>
          <w:szCs w:val="20"/>
        </w:rPr>
        <w:t>STRE EN 201</w:t>
      </w:r>
      <w:r w:rsidR="00275D27" w:rsidRPr="000A1B78">
        <w:rPr>
          <w:rFonts w:cstheme="minorHAnsi"/>
          <w:b/>
          <w:sz w:val="20"/>
          <w:szCs w:val="20"/>
        </w:rPr>
        <w:t>7</w:t>
      </w:r>
      <w:r w:rsidRPr="000A1B78">
        <w:rPr>
          <w:rFonts w:cstheme="minorHAnsi"/>
          <w:b/>
          <w:sz w:val="20"/>
          <w:szCs w:val="20"/>
        </w:rPr>
        <w:t xml:space="preserve"> </w:t>
      </w:r>
      <w:r w:rsidR="00C81210" w:rsidRPr="000A1B78">
        <w:rPr>
          <w:rFonts w:cstheme="minorHAnsi"/>
          <w:b/>
          <w:sz w:val="20"/>
          <w:szCs w:val="20"/>
        </w:rPr>
        <w:t>I</w:t>
      </w:r>
      <w:r w:rsidR="0047123B">
        <w:rPr>
          <w:rFonts w:cstheme="minorHAnsi"/>
          <w:b/>
          <w:sz w:val="20"/>
          <w:szCs w:val="20"/>
        </w:rPr>
        <w:t>I</w:t>
      </w:r>
    </w:p>
    <w:p w:rsidR="00FD09C4" w:rsidRPr="000A1B78" w:rsidRDefault="00FD09C4" w:rsidP="008738BC">
      <w:pPr>
        <w:spacing w:line="276" w:lineRule="auto"/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b/>
          <w:sz w:val="20"/>
          <w:szCs w:val="20"/>
        </w:rPr>
        <w:t xml:space="preserve">OBJETIVO: </w:t>
      </w:r>
      <w:r w:rsidRPr="000A1B78">
        <w:rPr>
          <w:rFonts w:cstheme="minorHAnsi"/>
          <w:sz w:val="20"/>
          <w:szCs w:val="20"/>
        </w:rPr>
        <w:t xml:space="preserve">Establecer las fortalezas y posibles debilidades en las áreas del conocimiento de los estudiantes a nivel grupal mediante el análisis de resultados y establecimiento de sugerencias de acuerdo con las </w:t>
      </w:r>
      <w:r w:rsidR="00A91E35" w:rsidRPr="000A1B78">
        <w:rPr>
          <w:rFonts w:cstheme="minorHAnsi"/>
          <w:sz w:val="20"/>
          <w:szCs w:val="20"/>
        </w:rPr>
        <w:t>necesidades de los estudiantes</w:t>
      </w:r>
      <w:r w:rsidRPr="000A1B78">
        <w:rPr>
          <w:rFonts w:cstheme="minorHAnsi"/>
          <w:sz w:val="20"/>
          <w:szCs w:val="20"/>
        </w:rPr>
        <w:t>.</w:t>
      </w:r>
    </w:p>
    <w:p w:rsidR="00A91E35" w:rsidRPr="000A1B78" w:rsidRDefault="00A91E35" w:rsidP="00A91E35">
      <w:pPr>
        <w:spacing w:line="276" w:lineRule="auto"/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b/>
          <w:sz w:val="20"/>
          <w:szCs w:val="20"/>
        </w:rPr>
        <w:t>POBLACIÓN:</w:t>
      </w:r>
      <w:r w:rsidRPr="000A1B78">
        <w:rPr>
          <w:rFonts w:cstheme="minorHAnsi"/>
          <w:sz w:val="20"/>
          <w:szCs w:val="20"/>
        </w:rPr>
        <w:t xml:space="preserve"> Análisis de l</w:t>
      </w:r>
      <w:r w:rsidR="00CE726B">
        <w:rPr>
          <w:rFonts w:cstheme="minorHAnsi"/>
          <w:sz w:val="20"/>
          <w:szCs w:val="20"/>
        </w:rPr>
        <w:t>a Prueba Saber 11</w:t>
      </w:r>
      <w:r w:rsidR="00A83A76">
        <w:rPr>
          <w:rFonts w:cstheme="minorHAnsi"/>
          <w:sz w:val="20"/>
          <w:szCs w:val="20"/>
        </w:rPr>
        <w:t xml:space="preserve"> de</w:t>
      </w:r>
      <w:r w:rsidR="00CE726B">
        <w:rPr>
          <w:rFonts w:cstheme="minorHAnsi"/>
          <w:sz w:val="20"/>
          <w:szCs w:val="20"/>
        </w:rPr>
        <w:t xml:space="preserve"> 6</w:t>
      </w:r>
      <w:r w:rsidR="00C201D1">
        <w:rPr>
          <w:rFonts w:cstheme="minorHAnsi"/>
          <w:sz w:val="20"/>
          <w:szCs w:val="20"/>
        </w:rPr>
        <w:t>1</w:t>
      </w:r>
      <w:r w:rsidR="00A83A76">
        <w:rPr>
          <w:rFonts w:cstheme="minorHAnsi"/>
          <w:sz w:val="20"/>
          <w:szCs w:val="20"/>
        </w:rPr>
        <w:t>1</w:t>
      </w:r>
      <w:r w:rsidRPr="000A1B78">
        <w:rPr>
          <w:rFonts w:cstheme="minorHAnsi"/>
          <w:sz w:val="20"/>
          <w:szCs w:val="20"/>
        </w:rPr>
        <w:t xml:space="preserve"> estudiantes de primer semestre de los diferentes programas académicos.</w:t>
      </w:r>
    </w:p>
    <w:p w:rsidR="001B0313" w:rsidRPr="000A1B78" w:rsidRDefault="00095B01" w:rsidP="00D06AAF">
      <w:pPr>
        <w:tabs>
          <w:tab w:val="left" w:pos="8340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b/>
          <w:sz w:val="20"/>
          <w:szCs w:val="20"/>
        </w:rPr>
        <w:t>DATOS ANALIZADOS</w:t>
      </w:r>
      <w:r w:rsidRPr="000A1B78">
        <w:rPr>
          <w:rFonts w:cstheme="minorHAnsi"/>
          <w:sz w:val="20"/>
          <w:szCs w:val="20"/>
        </w:rPr>
        <w:t>:</w:t>
      </w:r>
      <w:r w:rsidR="00C274C3" w:rsidRPr="000A1B78">
        <w:rPr>
          <w:rFonts w:cstheme="minorHAnsi"/>
          <w:sz w:val="20"/>
          <w:szCs w:val="20"/>
        </w:rPr>
        <w:t xml:space="preserve"> Estudiante por área del </w:t>
      </w:r>
      <w:r w:rsidR="00C84F47" w:rsidRPr="000A1B78">
        <w:rPr>
          <w:rFonts w:cstheme="minorHAnsi"/>
          <w:sz w:val="20"/>
          <w:szCs w:val="20"/>
        </w:rPr>
        <w:t>conocimie</w:t>
      </w:r>
      <w:r w:rsidR="00405B9B" w:rsidRPr="000A1B78">
        <w:rPr>
          <w:rFonts w:cstheme="minorHAnsi"/>
          <w:sz w:val="20"/>
          <w:szCs w:val="20"/>
        </w:rPr>
        <w:t xml:space="preserve">nto </w:t>
      </w:r>
      <w:r w:rsidR="00E42BFF">
        <w:rPr>
          <w:rFonts w:cstheme="minorHAnsi"/>
          <w:sz w:val="20"/>
          <w:szCs w:val="20"/>
        </w:rPr>
        <w:t>3055</w:t>
      </w:r>
      <w:r w:rsidR="00AF2099" w:rsidRPr="000A1B78">
        <w:rPr>
          <w:rFonts w:cstheme="minorHAnsi"/>
          <w:sz w:val="20"/>
          <w:szCs w:val="20"/>
        </w:rPr>
        <w:t xml:space="preserve"> datos</w:t>
      </w:r>
      <w:r w:rsidR="00F91F5B" w:rsidRPr="000A1B78">
        <w:rPr>
          <w:rFonts w:cstheme="minorHAnsi"/>
          <w:sz w:val="20"/>
          <w:szCs w:val="20"/>
        </w:rPr>
        <w:t xml:space="preserve">, base de datos entregada por </w:t>
      </w:r>
      <w:r w:rsidR="00AA5041" w:rsidRPr="000A1B78">
        <w:rPr>
          <w:rFonts w:cstheme="minorHAnsi"/>
          <w:sz w:val="20"/>
          <w:szCs w:val="20"/>
        </w:rPr>
        <w:t>TICS Sistema de Información Universitas XXI.</w:t>
      </w:r>
    </w:p>
    <w:p w:rsidR="001B0313" w:rsidRPr="000A1B78" w:rsidRDefault="001B0313" w:rsidP="008738BC">
      <w:pPr>
        <w:tabs>
          <w:tab w:val="left" w:pos="10490"/>
        </w:tabs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El </w:t>
      </w:r>
      <w:r w:rsidR="00AA5041" w:rsidRPr="000A1B78">
        <w:rPr>
          <w:rFonts w:cstheme="minorHAnsi"/>
          <w:sz w:val="20"/>
          <w:szCs w:val="20"/>
        </w:rPr>
        <w:t xml:space="preserve">siguiente </w:t>
      </w:r>
      <w:r w:rsidR="00545EDD" w:rsidRPr="000A1B78">
        <w:rPr>
          <w:rFonts w:cstheme="minorHAnsi"/>
          <w:sz w:val="20"/>
          <w:szCs w:val="20"/>
        </w:rPr>
        <w:t xml:space="preserve">informe </w:t>
      </w:r>
      <w:r w:rsidRPr="000A1B78">
        <w:rPr>
          <w:rFonts w:cstheme="minorHAnsi"/>
          <w:sz w:val="20"/>
          <w:szCs w:val="20"/>
        </w:rPr>
        <w:t xml:space="preserve">permite </w:t>
      </w:r>
      <w:r w:rsidR="00AA5041" w:rsidRPr="000A1B78">
        <w:rPr>
          <w:rFonts w:cstheme="minorHAnsi"/>
          <w:sz w:val="20"/>
          <w:szCs w:val="20"/>
        </w:rPr>
        <w:t xml:space="preserve">evidenciar </w:t>
      </w:r>
      <w:r w:rsidRPr="000A1B78">
        <w:rPr>
          <w:rFonts w:cstheme="minorHAnsi"/>
          <w:sz w:val="20"/>
          <w:szCs w:val="20"/>
        </w:rPr>
        <w:t>las debilidades y fortalezas de los diferentes grupos de estudiantes por programa</w:t>
      </w:r>
      <w:r w:rsidR="006657C7" w:rsidRPr="000A1B78">
        <w:rPr>
          <w:rFonts w:cstheme="minorHAnsi"/>
          <w:sz w:val="20"/>
          <w:szCs w:val="20"/>
        </w:rPr>
        <w:t xml:space="preserve"> en las áreas del conocimiento evaluadas en la Prueba saber 11</w:t>
      </w:r>
      <w:r w:rsidRPr="000A1B78">
        <w:rPr>
          <w:rFonts w:cstheme="minorHAnsi"/>
          <w:sz w:val="20"/>
          <w:szCs w:val="20"/>
        </w:rPr>
        <w:t>, será labor de la Decanatura, Directores de Programa y grupo de Docentes revisar esta información con el fin de buscar estrategias en conjunto con el PP</w:t>
      </w:r>
      <w:r w:rsidR="00AA5041" w:rsidRPr="000A1B78">
        <w:rPr>
          <w:rFonts w:cstheme="minorHAnsi"/>
          <w:sz w:val="20"/>
          <w:szCs w:val="20"/>
        </w:rPr>
        <w:t>E</w:t>
      </w:r>
      <w:r w:rsidRPr="000A1B78">
        <w:rPr>
          <w:rFonts w:cstheme="minorHAnsi"/>
          <w:sz w:val="20"/>
          <w:szCs w:val="20"/>
        </w:rPr>
        <w:t>, que permitan a los estudiantes apropiarse de manera adecuada del conocimiento evitando frustraciones y no cumplimiento de expectativas</w:t>
      </w:r>
      <w:r w:rsidR="001B54AA" w:rsidRPr="000A1B78">
        <w:rPr>
          <w:rFonts w:cstheme="minorHAnsi"/>
          <w:sz w:val="20"/>
          <w:szCs w:val="20"/>
        </w:rPr>
        <w:t>,</w:t>
      </w:r>
      <w:r w:rsidRPr="000A1B78">
        <w:rPr>
          <w:rFonts w:cstheme="minorHAnsi"/>
          <w:sz w:val="20"/>
          <w:szCs w:val="20"/>
        </w:rPr>
        <w:t xml:space="preserve"> que conlleven a </w:t>
      </w:r>
      <w:r w:rsidR="00C84F47" w:rsidRPr="000A1B78">
        <w:rPr>
          <w:rFonts w:cstheme="minorHAnsi"/>
          <w:sz w:val="20"/>
          <w:szCs w:val="20"/>
        </w:rPr>
        <w:t>un posible abandono académico</w:t>
      </w:r>
      <w:r w:rsidR="00AA5041" w:rsidRPr="000A1B78">
        <w:rPr>
          <w:rFonts w:cstheme="minorHAnsi"/>
          <w:sz w:val="20"/>
          <w:szCs w:val="20"/>
        </w:rPr>
        <w:t xml:space="preserve"> aumentando la deserción estudiantil</w:t>
      </w:r>
      <w:r w:rsidRPr="000A1B78">
        <w:rPr>
          <w:rFonts w:cstheme="minorHAnsi"/>
          <w:sz w:val="20"/>
          <w:szCs w:val="20"/>
        </w:rPr>
        <w:t>.</w:t>
      </w:r>
    </w:p>
    <w:p w:rsidR="00095B01" w:rsidRPr="000A1B78" w:rsidRDefault="001B0313" w:rsidP="008738BC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>E</w:t>
      </w:r>
      <w:r w:rsidR="00095B01" w:rsidRPr="000A1B78">
        <w:rPr>
          <w:rFonts w:cstheme="minorHAnsi"/>
          <w:sz w:val="20"/>
          <w:szCs w:val="20"/>
        </w:rPr>
        <w:t xml:space="preserve">s de mencionar que existen programas donde el número de </w:t>
      </w:r>
      <w:r w:rsidR="00C84F47" w:rsidRPr="000A1B78">
        <w:rPr>
          <w:rFonts w:cstheme="minorHAnsi"/>
          <w:sz w:val="20"/>
          <w:szCs w:val="20"/>
        </w:rPr>
        <w:t>aspirantes es</w:t>
      </w:r>
      <w:r w:rsidR="00095B01" w:rsidRPr="000A1B78">
        <w:rPr>
          <w:rFonts w:cstheme="minorHAnsi"/>
          <w:sz w:val="20"/>
          <w:szCs w:val="20"/>
        </w:rPr>
        <w:t xml:space="preserve"> mayor siendo el proceso de selección una oportunidad para elegir los mejores promedios y por ende los estudiantes</w:t>
      </w:r>
      <w:r w:rsidR="006657C7" w:rsidRPr="000A1B78">
        <w:rPr>
          <w:rFonts w:cstheme="minorHAnsi"/>
          <w:sz w:val="20"/>
          <w:szCs w:val="20"/>
        </w:rPr>
        <w:t xml:space="preserve"> con las mejores competencias académicas y psicosociales</w:t>
      </w:r>
      <w:r w:rsidR="001E35AC" w:rsidRPr="000A1B78">
        <w:rPr>
          <w:rFonts w:cstheme="minorHAnsi"/>
          <w:sz w:val="20"/>
          <w:szCs w:val="20"/>
        </w:rPr>
        <w:t>;</w:t>
      </w:r>
      <w:r w:rsidR="00095B01" w:rsidRPr="000A1B78">
        <w:rPr>
          <w:rFonts w:cstheme="minorHAnsi"/>
          <w:sz w:val="20"/>
          <w:szCs w:val="20"/>
        </w:rPr>
        <w:t xml:space="preserve"> razón por la que se puede observar cierta tendencia</w:t>
      </w:r>
      <w:r w:rsidR="001E35AC" w:rsidRPr="000A1B78">
        <w:rPr>
          <w:rFonts w:cstheme="minorHAnsi"/>
          <w:sz w:val="20"/>
          <w:szCs w:val="20"/>
        </w:rPr>
        <w:t xml:space="preserve"> favorable</w:t>
      </w:r>
      <w:r w:rsidR="00095B01" w:rsidRPr="000A1B78">
        <w:rPr>
          <w:rFonts w:cstheme="minorHAnsi"/>
          <w:sz w:val="20"/>
          <w:szCs w:val="20"/>
        </w:rPr>
        <w:t xml:space="preserve"> en los resultados, aspecto que no modifica la realidad del rango medio en el que se encuentran los estudiantes de los diferentes programas académicos de I semestre de la U.D.C.A. </w:t>
      </w:r>
    </w:p>
    <w:p w:rsidR="00344AF5" w:rsidRPr="000A1B78" w:rsidRDefault="001E35AC" w:rsidP="00344AF5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De acuerdo con los </w:t>
      </w:r>
      <w:r w:rsidR="00344AF5" w:rsidRPr="000A1B78">
        <w:rPr>
          <w:rFonts w:cstheme="minorHAnsi"/>
          <w:sz w:val="20"/>
          <w:szCs w:val="20"/>
        </w:rPr>
        <w:t xml:space="preserve">resultados </w:t>
      </w:r>
      <w:r w:rsidR="00C84F47" w:rsidRPr="000A1B78">
        <w:rPr>
          <w:rFonts w:cstheme="minorHAnsi"/>
          <w:sz w:val="20"/>
          <w:szCs w:val="20"/>
        </w:rPr>
        <w:t>hallados demuestran</w:t>
      </w:r>
      <w:r w:rsidR="00344AF5" w:rsidRPr="000A1B78">
        <w:rPr>
          <w:rFonts w:cstheme="minorHAnsi"/>
          <w:sz w:val="20"/>
          <w:szCs w:val="20"/>
        </w:rPr>
        <w:t xml:space="preserve"> la necesidad de reforzar el conocimiento y proceso de aprendizaje en algunas áreas del conocimiento, tal y como se evidencia en las gráficas y tablas de cada una de las áreas del conocimiento, será labor de Decanos, Directores de Programa, Docentes y Mentores revisar y analizar que estrategias didácticas, pedagógi</w:t>
      </w:r>
      <w:r w:rsidR="002C29B2">
        <w:rPr>
          <w:rFonts w:cstheme="minorHAnsi"/>
          <w:sz w:val="20"/>
          <w:szCs w:val="20"/>
        </w:rPr>
        <w:t>cas y metodológicas implementará</w:t>
      </w:r>
      <w:r w:rsidR="00344AF5" w:rsidRPr="000A1B78">
        <w:rPr>
          <w:rFonts w:cstheme="minorHAnsi"/>
          <w:sz w:val="20"/>
          <w:szCs w:val="20"/>
        </w:rPr>
        <w:t>n</w:t>
      </w:r>
      <w:r w:rsidR="00A7084E" w:rsidRPr="000A1B78">
        <w:rPr>
          <w:rFonts w:cstheme="minorHAnsi"/>
          <w:sz w:val="20"/>
          <w:szCs w:val="20"/>
        </w:rPr>
        <w:t xml:space="preserve"> para lograr una mejor y mayor comprensión de los conceptos propios de cada programa.</w:t>
      </w:r>
    </w:p>
    <w:p w:rsidR="00A7084E" w:rsidRPr="000A1B78" w:rsidRDefault="00A7084E" w:rsidP="00344AF5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Resulta importante mencionar que el seguimiento debe ser de manera </w:t>
      </w:r>
      <w:r w:rsidR="00CA582D" w:rsidRPr="000A1B78">
        <w:rPr>
          <w:rFonts w:cstheme="minorHAnsi"/>
          <w:sz w:val="20"/>
          <w:szCs w:val="20"/>
        </w:rPr>
        <w:t>continua</w:t>
      </w:r>
      <w:r w:rsidRPr="000A1B78">
        <w:rPr>
          <w:rFonts w:cstheme="minorHAnsi"/>
          <w:sz w:val="20"/>
          <w:szCs w:val="20"/>
        </w:rPr>
        <w:t xml:space="preserve"> permitiendo brindar al estudiante o grupo</w:t>
      </w:r>
      <w:r w:rsidR="002C29B2">
        <w:rPr>
          <w:rFonts w:cstheme="minorHAnsi"/>
          <w:sz w:val="20"/>
          <w:szCs w:val="20"/>
        </w:rPr>
        <w:t>,</w:t>
      </w:r>
      <w:r w:rsidRPr="000A1B78">
        <w:rPr>
          <w:rFonts w:cstheme="minorHAnsi"/>
          <w:sz w:val="20"/>
          <w:szCs w:val="20"/>
        </w:rPr>
        <w:t xml:space="preserve"> atención oportuna frente a las necesidades presentadas a </w:t>
      </w:r>
      <w:r w:rsidR="00C84F47" w:rsidRPr="000A1B78">
        <w:rPr>
          <w:rFonts w:cstheme="minorHAnsi"/>
          <w:sz w:val="20"/>
          <w:szCs w:val="20"/>
        </w:rPr>
        <w:t>nivel académico</w:t>
      </w:r>
      <w:r w:rsidRPr="000A1B78">
        <w:rPr>
          <w:rFonts w:cstheme="minorHAnsi"/>
          <w:sz w:val="20"/>
          <w:szCs w:val="20"/>
        </w:rPr>
        <w:t xml:space="preserve"> y psicosocial,</w:t>
      </w:r>
      <w:r w:rsidR="00A87BCF" w:rsidRPr="000A1B78">
        <w:rPr>
          <w:rFonts w:cstheme="minorHAnsi"/>
          <w:sz w:val="20"/>
          <w:szCs w:val="20"/>
        </w:rPr>
        <w:t xml:space="preserve"> </w:t>
      </w:r>
      <w:r w:rsidR="000B42EC" w:rsidRPr="000A1B78">
        <w:rPr>
          <w:rFonts w:cstheme="minorHAnsi"/>
          <w:sz w:val="20"/>
          <w:szCs w:val="20"/>
        </w:rPr>
        <w:t>también se</w:t>
      </w:r>
      <w:r w:rsidRPr="000A1B78">
        <w:rPr>
          <w:rFonts w:cstheme="minorHAnsi"/>
          <w:sz w:val="20"/>
          <w:szCs w:val="20"/>
        </w:rPr>
        <w:t xml:space="preserve"> debe tener presente que la </w:t>
      </w:r>
      <w:r w:rsidR="00252D88" w:rsidRPr="000A1B78">
        <w:rPr>
          <w:rFonts w:cstheme="minorHAnsi"/>
          <w:sz w:val="20"/>
          <w:szCs w:val="20"/>
        </w:rPr>
        <w:t>oportunidad de</w:t>
      </w:r>
      <w:r w:rsidRPr="000A1B78">
        <w:rPr>
          <w:rFonts w:cstheme="minorHAnsi"/>
          <w:sz w:val="20"/>
          <w:szCs w:val="20"/>
        </w:rPr>
        <w:t xml:space="preserve"> aprendizaje dependerá de los elementos que la </w:t>
      </w:r>
      <w:r w:rsidR="00252D88" w:rsidRPr="000A1B78">
        <w:rPr>
          <w:rFonts w:cstheme="minorHAnsi"/>
          <w:sz w:val="20"/>
          <w:szCs w:val="20"/>
        </w:rPr>
        <w:t>universidad</w:t>
      </w:r>
      <w:r w:rsidR="00380EBB" w:rsidRPr="000A1B78">
        <w:rPr>
          <w:rFonts w:cstheme="minorHAnsi"/>
          <w:sz w:val="20"/>
          <w:szCs w:val="20"/>
        </w:rPr>
        <w:t xml:space="preserve"> desde el modelo constructivo</w:t>
      </w:r>
      <w:r w:rsidR="00252D88" w:rsidRPr="000A1B78">
        <w:rPr>
          <w:rFonts w:cstheme="minorHAnsi"/>
          <w:sz w:val="20"/>
          <w:szCs w:val="20"/>
        </w:rPr>
        <w:t xml:space="preserve"> </w:t>
      </w:r>
      <w:r w:rsidR="00E90F21" w:rsidRPr="000A1B78">
        <w:rPr>
          <w:rFonts w:cstheme="minorHAnsi"/>
          <w:sz w:val="20"/>
          <w:szCs w:val="20"/>
        </w:rPr>
        <w:t>les</w:t>
      </w:r>
      <w:r w:rsidRPr="000A1B78">
        <w:rPr>
          <w:rFonts w:cstheme="minorHAnsi"/>
          <w:sz w:val="20"/>
          <w:szCs w:val="20"/>
        </w:rPr>
        <w:t xml:space="preserve"> brinde a los </w:t>
      </w:r>
      <w:r w:rsidR="00A87BCF" w:rsidRPr="000A1B78">
        <w:rPr>
          <w:rFonts w:cstheme="minorHAnsi"/>
          <w:sz w:val="20"/>
          <w:szCs w:val="20"/>
        </w:rPr>
        <w:t>jóvenes</w:t>
      </w:r>
      <w:r w:rsidRPr="000A1B78">
        <w:rPr>
          <w:rFonts w:cstheme="minorHAnsi"/>
          <w:sz w:val="20"/>
          <w:szCs w:val="20"/>
        </w:rPr>
        <w:t xml:space="preserve"> en</w:t>
      </w:r>
      <w:r w:rsidR="00380EBB" w:rsidRPr="000A1B78">
        <w:rPr>
          <w:rFonts w:cstheme="minorHAnsi"/>
          <w:sz w:val="20"/>
          <w:szCs w:val="20"/>
        </w:rPr>
        <w:t xml:space="preserve"> el</w:t>
      </w:r>
      <w:r w:rsidRPr="000A1B78">
        <w:rPr>
          <w:rFonts w:cstheme="minorHAnsi"/>
          <w:sz w:val="20"/>
          <w:szCs w:val="20"/>
        </w:rPr>
        <w:t xml:space="preserve"> proceso de formación</w:t>
      </w:r>
      <w:r w:rsidR="00380EBB" w:rsidRPr="000A1B78">
        <w:rPr>
          <w:rFonts w:cstheme="minorHAnsi"/>
          <w:sz w:val="20"/>
          <w:szCs w:val="20"/>
        </w:rPr>
        <w:t xml:space="preserve"> el cual está orientado a la promoción y </w:t>
      </w:r>
      <w:r w:rsidR="008F0D31" w:rsidRPr="000A1B78">
        <w:rPr>
          <w:rFonts w:cstheme="minorHAnsi"/>
          <w:sz w:val="20"/>
          <w:szCs w:val="20"/>
        </w:rPr>
        <w:t>excelencia.</w:t>
      </w:r>
    </w:p>
    <w:p w:rsidR="001424C7" w:rsidRPr="000A1B78" w:rsidRDefault="001178D3" w:rsidP="001178D3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>El promedio general de los resultados de la prueba saber 11 de los estudiantes de primer semestre de los diferentes programas acad</w:t>
      </w:r>
      <w:r w:rsidR="00252D88" w:rsidRPr="000A1B78">
        <w:rPr>
          <w:rFonts w:cstheme="minorHAnsi"/>
          <w:sz w:val="20"/>
          <w:szCs w:val="20"/>
        </w:rPr>
        <w:t>émicos que ingresaron en 201</w:t>
      </w:r>
      <w:r w:rsidR="00DF59C6" w:rsidRPr="000A1B78">
        <w:rPr>
          <w:rFonts w:cstheme="minorHAnsi"/>
          <w:sz w:val="20"/>
          <w:szCs w:val="20"/>
        </w:rPr>
        <w:t>7</w:t>
      </w:r>
      <w:r w:rsidR="00252D88" w:rsidRPr="000A1B78">
        <w:rPr>
          <w:rFonts w:cstheme="minorHAnsi"/>
          <w:sz w:val="20"/>
          <w:szCs w:val="20"/>
        </w:rPr>
        <w:t xml:space="preserve"> I</w:t>
      </w:r>
      <w:r w:rsidR="00EA7B5F">
        <w:rPr>
          <w:rFonts w:cstheme="minorHAnsi"/>
          <w:sz w:val="20"/>
          <w:szCs w:val="20"/>
        </w:rPr>
        <w:t>I</w:t>
      </w:r>
      <w:r w:rsidR="00252D88" w:rsidRPr="000A1B78">
        <w:rPr>
          <w:rFonts w:cstheme="minorHAnsi"/>
          <w:sz w:val="20"/>
          <w:szCs w:val="20"/>
        </w:rPr>
        <w:t xml:space="preserve"> </w:t>
      </w:r>
      <w:r w:rsidR="00807874" w:rsidRPr="000A1B78">
        <w:rPr>
          <w:rFonts w:cstheme="minorHAnsi"/>
          <w:sz w:val="20"/>
          <w:szCs w:val="20"/>
        </w:rPr>
        <w:t>indica que el grupo de estudiantes se encuentra en un rango medio de acuerdo con los estándares</w:t>
      </w:r>
      <w:r w:rsidR="00DF59C6" w:rsidRPr="000A1B78">
        <w:rPr>
          <w:rFonts w:cstheme="minorHAnsi"/>
          <w:sz w:val="20"/>
          <w:szCs w:val="20"/>
        </w:rPr>
        <w:t xml:space="preserve"> establecidos por </w:t>
      </w:r>
      <w:r w:rsidR="00807874" w:rsidRPr="000A1B78">
        <w:rPr>
          <w:rFonts w:cstheme="minorHAnsi"/>
          <w:sz w:val="20"/>
          <w:szCs w:val="20"/>
        </w:rPr>
        <w:t>ICFES.</w:t>
      </w:r>
    </w:p>
    <w:p w:rsidR="00EB6D41" w:rsidRPr="000A1B78" w:rsidRDefault="00994AC3" w:rsidP="001178D3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Estos resultados deben permitir a las diferentes Facultades y Direcciones de Programas determinar qué acciones son las más eficientes para reforzar las áreas del conocimiento y brindar oportunidad a quienes requieren de orientación mediante el </w:t>
      </w:r>
      <w:r w:rsidR="00EA7B5F">
        <w:rPr>
          <w:rFonts w:cstheme="minorHAnsi"/>
          <w:sz w:val="20"/>
          <w:szCs w:val="20"/>
        </w:rPr>
        <w:t>PPE</w:t>
      </w:r>
      <w:r w:rsidRPr="000A1B78">
        <w:rPr>
          <w:rFonts w:cstheme="minorHAnsi"/>
          <w:sz w:val="20"/>
          <w:szCs w:val="20"/>
        </w:rPr>
        <w:t>, Mentores, Tutores y psicólogos de la Universidad</w:t>
      </w:r>
      <w:r w:rsidR="00DF59C6" w:rsidRPr="000A1B78">
        <w:rPr>
          <w:rFonts w:cstheme="minorHAnsi"/>
          <w:sz w:val="20"/>
          <w:szCs w:val="20"/>
        </w:rPr>
        <w:t>; siendo una labor permanente y comprometida de los actores relacionados.</w:t>
      </w:r>
    </w:p>
    <w:p w:rsidR="001424C7" w:rsidRPr="000A1B78" w:rsidRDefault="001424C7" w:rsidP="001178D3">
      <w:pPr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934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726"/>
        <w:gridCol w:w="1847"/>
        <w:gridCol w:w="3208"/>
        <w:gridCol w:w="1581"/>
        <w:gridCol w:w="1986"/>
      </w:tblGrid>
      <w:tr w:rsidR="001424C7" w:rsidRPr="000A1B78" w:rsidTr="00EE28EC">
        <w:trPr>
          <w:trHeight w:val="416"/>
        </w:trPr>
        <w:tc>
          <w:tcPr>
            <w:tcW w:w="726" w:type="dxa"/>
            <w:shd w:val="clear" w:color="auto" w:fill="C5E0B3" w:themeFill="accent6" w:themeFillTint="66"/>
            <w:vAlign w:val="center"/>
          </w:tcPr>
          <w:p w:rsidR="001424C7" w:rsidRPr="000A1B78" w:rsidRDefault="001424C7" w:rsidP="00C359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1847" w:type="dxa"/>
            <w:shd w:val="clear" w:color="auto" w:fill="C5E0B3" w:themeFill="accent6" w:themeFillTint="66"/>
            <w:vAlign w:val="center"/>
          </w:tcPr>
          <w:p w:rsidR="001424C7" w:rsidRPr="000A1B78" w:rsidRDefault="001424C7" w:rsidP="00C359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ESTRATEGIA</w:t>
            </w:r>
          </w:p>
        </w:tc>
        <w:tc>
          <w:tcPr>
            <w:tcW w:w="3208" w:type="dxa"/>
            <w:shd w:val="clear" w:color="auto" w:fill="C5E0B3" w:themeFill="accent6" w:themeFillTint="66"/>
            <w:vAlign w:val="center"/>
          </w:tcPr>
          <w:p w:rsidR="001424C7" w:rsidRPr="000A1B78" w:rsidRDefault="001424C7" w:rsidP="00C359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OBJETIVO</w:t>
            </w:r>
          </w:p>
        </w:tc>
        <w:tc>
          <w:tcPr>
            <w:tcW w:w="3567" w:type="dxa"/>
            <w:gridSpan w:val="2"/>
            <w:shd w:val="clear" w:color="auto" w:fill="C5E0B3" w:themeFill="accent6" w:themeFillTint="66"/>
            <w:vAlign w:val="center"/>
          </w:tcPr>
          <w:p w:rsidR="001424C7" w:rsidRPr="000A1B78" w:rsidRDefault="001424C7" w:rsidP="00C359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B78">
              <w:rPr>
                <w:rFonts w:cstheme="minorHAnsi"/>
                <w:b/>
                <w:sz w:val="20"/>
                <w:szCs w:val="20"/>
              </w:rPr>
              <w:t>IMPACTO</w:t>
            </w:r>
          </w:p>
        </w:tc>
      </w:tr>
      <w:tr w:rsidR="001424C7" w:rsidRPr="000A1B78" w:rsidTr="00EE28EC">
        <w:trPr>
          <w:trHeight w:val="2150"/>
        </w:trPr>
        <w:tc>
          <w:tcPr>
            <w:tcW w:w="726" w:type="dxa"/>
            <w:shd w:val="clear" w:color="auto" w:fill="FFFFFF" w:themeFill="background1"/>
            <w:vAlign w:val="center"/>
          </w:tcPr>
          <w:p w:rsidR="001424C7" w:rsidRPr="000A1B78" w:rsidRDefault="001424C7" w:rsidP="00C359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1424C7" w:rsidRPr="000A1B78" w:rsidRDefault="009472D3" w:rsidP="008F78A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ANÁLISIS </w:t>
            </w:r>
            <w:r w:rsidR="008F78A1"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PROMEDIOS </w:t>
            </w:r>
            <w:r w:rsidR="001424C7"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PRUEBA SABER 11 POR ÁREAS DEL CONOCIMIENTO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1424C7" w:rsidRPr="000A1B78" w:rsidRDefault="001424C7" w:rsidP="00F2314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Determinar las debilidades y fortalezas de los estudiantes en las áreas de </w:t>
            </w:r>
            <w:r w:rsidR="0021228A"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Lectura Crítica, Competencias Ciudadanas, Matemáticas, Ciencias Naturales   </w:t>
            </w: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e </w:t>
            </w:r>
            <w:r w:rsidR="00FB63F3"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inglés</w:t>
            </w: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, para así generar estrategias de orden académico que </w:t>
            </w:r>
            <w:r w:rsidR="00CE0ECC"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mantengan la</w:t>
            </w: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permanecía de los estudiantes.</w:t>
            </w:r>
            <w:r w:rsidR="00CE0ECC"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567" w:type="dxa"/>
            <w:gridSpan w:val="2"/>
            <w:shd w:val="clear" w:color="auto" w:fill="FFFFFF" w:themeFill="background1"/>
            <w:vAlign w:val="center"/>
          </w:tcPr>
          <w:p w:rsidR="001424C7" w:rsidRPr="000A1B78" w:rsidRDefault="001424C7" w:rsidP="00C3599D">
            <w:pPr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Los estudiantes </w:t>
            </w:r>
            <w:r w:rsidR="000B42EC"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reciben refuerzos</w:t>
            </w: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en las áreas anteriormente mencionadas, por parte de los docentes y tutores quienes conocedores del diagnóstico han generado </w:t>
            </w:r>
            <w:r w:rsidR="000B42EC"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estrategias como</w:t>
            </w: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un medio para garantizar un mejor proceso de aprendizaje</w:t>
            </w:r>
            <w:r w:rsidR="008C771F"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, promoción</w:t>
            </w: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y permanencia </w:t>
            </w:r>
            <w:r w:rsidR="00CE0ECC"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en la</w:t>
            </w: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universidad.  </w:t>
            </w:r>
          </w:p>
        </w:tc>
      </w:tr>
      <w:tr w:rsidR="00EE28EC" w:rsidRPr="000A1B78" w:rsidTr="00EE28EC">
        <w:trPr>
          <w:trHeight w:val="832"/>
        </w:trPr>
        <w:tc>
          <w:tcPr>
            <w:tcW w:w="726" w:type="dxa"/>
            <w:shd w:val="clear" w:color="auto" w:fill="F7CAAC" w:themeFill="accent2" w:themeFillTint="66"/>
            <w:vAlign w:val="center"/>
          </w:tcPr>
          <w:p w:rsidR="001424C7" w:rsidRPr="000A1B78" w:rsidRDefault="001424C7" w:rsidP="00C359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shd w:val="clear" w:color="auto" w:fill="F7CAAC" w:themeFill="accent2" w:themeFillTint="66"/>
            <w:vAlign w:val="center"/>
          </w:tcPr>
          <w:p w:rsidR="001424C7" w:rsidRPr="000A1B78" w:rsidRDefault="001424C7" w:rsidP="00C359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AÑO- PERIODO</w:t>
            </w:r>
          </w:p>
        </w:tc>
        <w:tc>
          <w:tcPr>
            <w:tcW w:w="3208" w:type="dxa"/>
            <w:shd w:val="clear" w:color="auto" w:fill="F7CAAC" w:themeFill="accent2" w:themeFillTint="66"/>
            <w:vAlign w:val="center"/>
          </w:tcPr>
          <w:p w:rsidR="001424C7" w:rsidRPr="000A1B78" w:rsidRDefault="001424C7" w:rsidP="00C359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POBLACIÓN TOTAL</w:t>
            </w:r>
          </w:p>
        </w:tc>
        <w:tc>
          <w:tcPr>
            <w:tcW w:w="1581" w:type="dxa"/>
            <w:shd w:val="clear" w:color="auto" w:fill="F7CAAC" w:themeFill="accent2" w:themeFillTint="66"/>
            <w:vAlign w:val="center"/>
          </w:tcPr>
          <w:p w:rsidR="001424C7" w:rsidRPr="000A1B78" w:rsidRDefault="001424C7" w:rsidP="00C359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PROMEDIO ANUAL</w:t>
            </w:r>
          </w:p>
        </w:tc>
        <w:tc>
          <w:tcPr>
            <w:tcW w:w="1986" w:type="dxa"/>
            <w:shd w:val="clear" w:color="auto" w:fill="F7CAAC" w:themeFill="accent2" w:themeFillTint="66"/>
            <w:vAlign w:val="center"/>
          </w:tcPr>
          <w:p w:rsidR="001424C7" w:rsidRPr="000A1B78" w:rsidRDefault="001424C7" w:rsidP="00C3599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RANGO RESULTADOS</w:t>
            </w:r>
          </w:p>
        </w:tc>
      </w:tr>
      <w:tr w:rsidR="00C35462" w:rsidRPr="000A1B78" w:rsidTr="00BC14C5">
        <w:trPr>
          <w:trHeight w:val="416"/>
        </w:trPr>
        <w:tc>
          <w:tcPr>
            <w:tcW w:w="726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2012-I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544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44,8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462" w:rsidRPr="000A1B78" w:rsidRDefault="00C35462" w:rsidP="00C3546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  <w:tr w:rsidR="00C35462" w:rsidRPr="000A1B78" w:rsidTr="00BC14C5">
        <w:trPr>
          <w:trHeight w:val="438"/>
        </w:trPr>
        <w:tc>
          <w:tcPr>
            <w:tcW w:w="726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2012-II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543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46,9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  <w:tr w:rsidR="00C35462" w:rsidRPr="000A1B78" w:rsidTr="00BC14C5">
        <w:trPr>
          <w:trHeight w:val="416"/>
        </w:trPr>
        <w:tc>
          <w:tcPr>
            <w:tcW w:w="726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2013-I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657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45,6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  <w:tr w:rsidR="00C35462" w:rsidRPr="000A1B78" w:rsidTr="00BC14C5">
        <w:trPr>
          <w:trHeight w:val="416"/>
        </w:trPr>
        <w:tc>
          <w:tcPr>
            <w:tcW w:w="726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2013-II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624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48,3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  <w:tr w:rsidR="00C35462" w:rsidRPr="000A1B78" w:rsidTr="00BC14C5">
        <w:trPr>
          <w:trHeight w:val="416"/>
        </w:trPr>
        <w:tc>
          <w:tcPr>
            <w:tcW w:w="726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2014-I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786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47,51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  <w:tr w:rsidR="00C35462" w:rsidRPr="000A1B78" w:rsidTr="00BC14C5">
        <w:trPr>
          <w:trHeight w:val="416"/>
        </w:trPr>
        <w:tc>
          <w:tcPr>
            <w:tcW w:w="726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2014-II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596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48,3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  <w:tr w:rsidR="00C35462" w:rsidRPr="000A1B78" w:rsidTr="00BC14C5">
        <w:trPr>
          <w:trHeight w:val="416"/>
        </w:trPr>
        <w:tc>
          <w:tcPr>
            <w:tcW w:w="726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2015-I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712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50,05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  <w:tr w:rsidR="00C35462" w:rsidRPr="000A1B78" w:rsidTr="00BC14C5">
        <w:trPr>
          <w:trHeight w:val="416"/>
        </w:trPr>
        <w:tc>
          <w:tcPr>
            <w:tcW w:w="726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2015- II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651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53,4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  <w:tr w:rsidR="00C35462" w:rsidRPr="000A1B78" w:rsidTr="00BC14C5">
        <w:trPr>
          <w:trHeight w:val="416"/>
        </w:trPr>
        <w:tc>
          <w:tcPr>
            <w:tcW w:w="726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C35462" w:rsidRPr="000A1B78" w:rsidRDefault="00C35462" w:rsidP="00C354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2016 – I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735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B78">
              <w:rPr>
                <w:rFonts w:cstheme="minorHAnsi"/>
                <w:sz w:val="20"/>
                <w:szCs w:val="20"/>
              </w:rPr>
              <w:t>52,3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62" w:rsidRPr="000A1B78" w:rsidRDefault="00C35462" w:rsidP="00C3546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  <w:tr w:rsidR="00BC4C40" w:rsidRPr="000A1B78" w:rsidTr="00EE28EC">
        <w:trPr>
          <w:trHeight w:val="416"/>
        </w:trPr>
        <w:tc>
          <w:tcPr>
            <w:tcW w:w="726" w:type="dxa"/>
            <w:shd w:val="clear" w:color="auto" w:fill="FFFFFF" w:themeFill="background1"/>
            <w:vAlign w:val="bottom"/>
          </w:tcPr>
          <w:p w:rsidR="00BC4C40" w:rsidRPr="000A1B78" w:rsidRDefault="00BC4C40" w:rsidP="00C732B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BC4C40" w:rsidRPr="000A1B78" w:rsidRDefault="00BC4C40" w:rsidP="00BC4C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2016 - II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C40" w:rsidRPr="000A1B78" w:rsidRDefault="002B5FF7" w:rsidP="00C3546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489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C40" w:rsidRPr="000A1B78" w:rsidRDefault="00C35462" w:rsidP="00C3546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40" w:rsidRPr="000A1B78" w:rsidRDefault="00BC4C40" w:rsidP="00C732B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  <w:tr w:rsidR="00084480" w:rsidRPr="000A1B78" w:rsidTr="00EE28EC">
        <w:trPr>
          <w:trHeight w:val="416"/>
        </w:trPr>
        <w:tc>
          <w:tcPr>
            <w:tcW w:w="726" w:type="dxa"/>
            <w:shd w:val="clear" w:color="auto" w:fill="FFFFFF" w:themeFill="background1"/>
            <w:vAlign w:val="bottom"/>
          </w:tcPr>
          <w:p w:rsidR="00084480" w:rsidRPr="000A1B78" w:rsidRDefault="00084480" w:rsidP="00C732B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084480" w:rsidRPr="000A1B78" w:rsidRDefault="00084480" w:rsidP="0008448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2017 - I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480" w:rsidRPr="000A1B78" w:rsidRDefault="001B490B" w:rsidP="00C3546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504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480" w:rsidRPr="000A1B78" w:rsidRDefault="001B490B" w:rsidP="00C3546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54,2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80" w:rsidRPr="000A1B78" w:rsidRDefault="00981139" w:rsidP="00C732B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  <w:tr w:rsidR="0047123B" w:rsidRPr="000A1B78" w:rsidTr="00EE28EC">
        <w:trPr>
          <w:trHeight w:val="416"/>
        </w:trPr>
        <w:tc>
          <w:tcPr>
            <w:tcW w:w="726" w:type="dxa"/>
            <w:shd w:val="clear" w:color="auto" w:fill="FFFFFF" w:themeFill="background1"/>
            <w:vAlign w:val="bottom"/>
          </w:tcPr>
          <w:p w:rsidR="0047123B" w:rsidRPr="000A1B78" w:rsidRDefault="0047123B" w:rsidP="00C732B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847" w:type="dxa"/>
            <w:shd w:val="clear" w:color="auto" w:fill="FFFFFF" w:themeFill="background1"/>
            <w:vAlign w:val="bottom"/>
          </w:tcPr>
          <w:p w:rsidR="0047123B" w:rsidRPr="000A1B78" w:rsidRDefault="0047123B" w:rsidP="0008448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2017 – II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3B" w:rsidRPr="000A1B78" w:rsidRDefault="00354077" w:rsidP="00C3546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601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3B" w:rsidRPr="000A1B78" w:rsidRDefault="00354077" w:rsidP="00C3546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53,3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3B" w:rsidRPr="000A1B78" w:rsidRDefault="00AD341F" w:rsidP="00C732B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A1B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30,1-70 = RANGO MEDIO</w:t>
            </w:r>
          </w:p>
        </w:tc>
      </w:tr>
    </w:tbl>
    <w:p w:rsidR="001424C7" w:rsidRPr="000A1B78" w:rsidRDefault="001424C7" w:rsidP="001178D3">
      <w:pPr>
        <w:jc w:val="both"/>
        <w:rPr>
          <w:rFonts w:cstheme="minorHAnsi"/>
          <w:sz w:val="20"/>
          <w:szCs w:val="20"/>
        </w:rPr>
      </w:pPr>
    </w:p>
    <w:p w:rsidR="008A3A00" w:rsidRPr="0094235C" w:rsidRDefault="00905DB5" w:rsidP="001178D3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Como se observa en los </w:t>
      </w:r>
      <w:r w:rsidR="00CE0ECC" w:rsidRPr="000A1B78">
        <w:rPr>
          <w:rFonts w:cstheme="minorHAnsi"/>
          <w:sz w:val="20"/>
          <w:szCs w:val="20"/>
        </w:rPr>
        <w:t>resultados de</w:t>
      </w:r>
      <w:r w:rsidRPr="000A1B78">
        <w:rPr>
          <w:rFonts w:cstheme="minorHAnsi"/>
          <w:sz w:val="20"/>
          <w:szCs w:val="20"/>
        </w:rPr>
        <w:t xml:space="preserve"> los diferentes años el promedio </w:t>
      </w:r>
      <w:r w:rsidR="00CE0ECC" w:rsidRPr="000A1B78">
        <w:rPr>
          <w:rFonts w:cstheme="minorHAnsi"/>
          <w:sz w:val="20"/>
          <w:szCs w:val="20"/>
        </w:rPr>
        <w:t>general de</w:t>
      </w:r>
      <w:r w:rsidRPr="000A1B78">
        <w:rPr>
          <w:rFonts w:cstheme="minorHAnsi"/>
          <w:sz w:val="20"/>
          <w:szCs w:val="20"/>
        </w:rPr>
        <w:t xml:space="preserve"> los estudiantes que han ingresado a la universidad a los programas </w:t>
      </w:r>
      <w:r w:rsidR="00CE0ECC" w:rsidRPr="000A1B78">
        <w:rPr>
          <w:rFonts w:cstheme="minorHAnsi"/>
          <w:sz w:val="20"/>
          <w:szCs w:val="20"/>
        </w:rPr>
        <w:t>académicos ha</w:t>
      </w:r>
      <w:r w:rsidRPr="000A1B78">
        <w:rPr>
          <w:rFonts w:cstheme="minorHAnsi"/>
          <w:sz w:val="20"/>
          <w:szCs w:val="20"/>
        </w:rPr>
        <w:t xml:space="preserve"> venido</w:t>
      </w:r>
      <w:r w:rsidR="00DC2BAD" w:rsidRPr="000A1B78">
        <w:rPr>
          <w:rFonts w:cstheme="minorHAnsi"/>
          <w:sz w:val="20"/>
          <w:szCs w:val="20"/>
        </w:rPr>
        <w:t xml:space="preserve"> teniendo un comportamiento fluctuante;</w:t>
      </w:r>
      <w:r w:rsidR="00083ACA" w:rsidRPr="000A1B78">
        <w:rPr>
          <w:rFonts w:cstheme="minorHAnsi"/>
          <w:sz w:val="20"/>
          <w:szCs w:val="20"/>
        </w:rPr>
        <w:t xml:space="preserve"> sin </w:t>
      </w:r>
      <w:r w:rsidR="00D34F96" w:rsidRPr="000A1B78">
        <w:rPr>
          <w:rFonts w:cstheme="minorHAnsi"/>
          <w:sz w:val="20"/>
          <w:szCs w:val="20"/>
        </w:rPr>
        <w:t>embargo</w:t>
      </w:r>
      <w:r w:rsidR="00083ACA" w:rsidRPr="000A1B78">
        <w:rPr>
          <w:rFonts w:cstheme="minorHAnsi"/>
          <w:sz w:val="20"/>
          <w:szCs w:val="20"/>
        </w:rPr>
        <w:t xml:space="preserve"> se observa que para el año 201</w:t>
      </w:r>
      <w:r w:rsidR="00DC2BAD" w:rsidRPr="000A1B78">
        <w:rPr>
          <w:rFonts w:cstheme="minorHAnsi"/>
          <w:sz w:val="20"/>
          <w:szCs w:val="20"/>
        </w:rPr>
        <w:t>7</w:t>
      </w:r>
      <w:r w:rsidR="00083ACA" w:rsidRPr="000A1B78">
        <w:rPr>
          <w:rFonts w:cstheme="minorHAnsi"/>
          <w:sz w:val="20"/>
          <w:szCs w:val="20"/>
        </w:rPr>
        <w:t xml:space="preserve"> </w:t>
      </w:r>
      <w:r w:rsidR="004E0B16">
        <w:rPr>
          <w:rFonts w:cstheme="minorHAnsi"/>
          <w:sz w:val="20"/>
          <w:szCs w:val="20"/>
        </w:rPr>
        <w:t>I</w:t>
      </w:r>
      <w:r w:rsidR="002B5FF7" w:rsidRPr="000A1B78">
        <w:rPr>
          <w:rFonts w:cstheme="minorHAnsi"/>
          <w:sz w:val="20"/>
          <w:szCs w:val="20"/>
        </w:rPr>
        <w:t>I</w:t>
      </w:r>
      <w:r w:rsidR="00083ACA" w:rsidRPr="000A1B78">
        <w:rPr>
          <w:rFonts w:cstheme="minorHAnsi"/>
          <w:sz w:val="20"/>
          <w:szCs w:val="20"/>
        </w:rPr>
        <w:t>, el promedio</w:t>
      </w:r>
      <w:r w:rsidR="0061741A" w:rsidRPr="000A1B78">
        <w:rPr>
          <w:rFonts w:cstheme="minorHAnsi"/>
          <w:sz w:val="20"/>
          <w:szCs w:val="20"/>
        </w:rPr>
        <w:t xml:space="preserve"> es </w:t>
      </w:r>
      <w:r w:rsidR="00D34F96" w:rsidRPr="000A1B78">
        <w:rPr>
          <w:rFonts w:cstheme="minorHAnsi"/>
          <w:sz w:val="20"/>
          <w:szCs w:val="20"/>
        </w:rPr>
        <w:t>de 5</w:t>
      </w:r>
      <w:r w:rsidR="00354077">
        <w:rPr>
          <w:rFonts w:cstheme="minorHAnsi"/>
          <w:sz w:val="20"/>
          <w:szCs w:val="20"/>
        </w:rPr>
        <w:t>3</w:t>
      </w:r>
      <w:r w:rsidR="00832AED" w:rsidRPr="000A1B78">
        <w:rPr>
          <w:rFonts w:cstheme="minorHAnsi"/>
          <w:sz w:val="20"/>
          <w:szCs w:val="20"/>
        </w:rPr>
        <w:t>,</w:t>
      </w:r>
      <w:r w:rsidR="00354077">
        <w:rPr>
          <w:rFonts w:cstheme="minorHAnsi"/>
          <w:sz w:val="20"/>
          <w:szCs w:val="20"/>
        </w:rPr>
        <w:t>3</w:t>
      </w:r>
      <w:r w:rsidR="00DC2BAD" w:rsidRPr="000A1B78">
        <w:rPr>
          <w:rFonts w:cstheme="minorHAnsi"/>
          <w:sz w:val="20"/>
          <w:szCs w:val="20"/>
        </w:rPr>
        <w:t xml:space="preserve"> </w:t>
      </w:r>
      <w:r w:rsidR="0061741A" w:rsidRPr="000A1B78">
        <w:rPr>
          <w:rFonts w:cstheme="minorHAnsi"/>
          <w:sz w:val="20"/>
          <w:szCs w:val="20"/>
        </w:rPr>
        <w:t xml:space="preserve"> </w:t>
      </w:r>
      <w:r w:rsidR="00AD341F">
        <w:rPr>
          <w:rFonts w:cstheme="minorHAnsi"/>
          <w:sz w:val="20"/>
          <w:szCs w:val="20"/>
        </w:rPr>
        <w:t xml:space="preserve">lo que indica </w:t>
      </w:r>
      <w:r w:rsidR="00DC2BAD" w:rsidRPr="000A1B78">
        <w:rPr>
          <w:rFonts w:cstheme="minorHAnsi"/>
          <w:sz w:val="20"/>
          <w:szCs w:val="20"/>
        </w:rPr>
        <w:t xml:space="preserve"> </w:t>
      </w:r>
      <w:r w:rsidR="00AD341F">
        <w:rPr>
          <w:rFonts w:cstheme="minorHAnsi"/>
          <w:sz w:val="20"/>
          <w:szCs w:val="20"/>
        </w:rPr>
        <w:t xml:space="preserve">que disminuyó </w:t>
      </w:r>
      <w:r w:rsidR="00DC2BAD" w:rsidRPr="000A1B78">
        <w:rPr>
          <w:rFonts w:cstheme="minorHAnsi"/>
          <w:sz w:val="20"/>
          <w:szCs w:val="20"/>
        </w:rPr>
        <w:t>con relación a los anteriores semestres</w:t>
      </w:r>
      <w:r w:rsidR="00707677" w:rsidRPr="000A1B78">
        <w:rPr>
          <w:rFonts w:cstheme="minorHAnsi"/>
          <w:sz w:val="20"/>
          <w:szCs w:val="20"/>
        </w:rPr>
        <w:t xml:space="preserve">, </w:t>
      </w:r>
      <w:r w:rsidR="00EF39B9" w:rsidRPr="0094235C">
        <w:rPr>
          <w:rFonts w:cstheme="minorHAnsi"/>
          <w:sz w:val="20"/>
          <w:szCs w:val="20"/>
        </w:rPr>
        <w:t xml:space="preserve">aspecto que </w:t>
      </w:r>
      <w:r w:rsidR="00707677" w:rsidRPr="0094235C">
        <w:rPr>
          <w:rFonts w:cstheme="minorHAnsi"/>
          <w:sz w:val="20"/>
          <w:szCs w:val="20"/>
        </w:rPr>
        <w:t xml:space="preserve">denota </w:t>
      </w:r>
      <w:r w:rsidR="0094235C" w:rsidRPr="0094235C">
        <w:rPr>
          <w:rFonts w:cstheme="minorHAnsi"/>
          <w:sz w:val="20"/>
          <w:szCs w:val="20"/>
        </w:rPr>
        <w:t xml:space="preserve">el esfuerzo </w:t>
      </w:r>
      <w:r w:rsidR="00707677" w:rsidRPr="0094235C">
        <w:rPr>
          <w:rFonts w:cstheme="minorHAnsi"/>
          <w:sz w:val="20"/>
          <w:szCs w:val="20"/>
        </w:rPr>
        <w:t>en el proceso de selección por parte de las Facultades y Direcciones de Programa</w:t>
      </w:r>
      <w:r w:rsidR="00EF39B9" w:rsidRPr="0094235C">
        <w:rPr>
          <w:rFonts w:cstheme="minorHAnsi"/>
          <w:sz w:val="20"/>
          <w:szCs w:val="20"/>
        </w:rPr>
        <w:t>;</w:t>
      </w:r>
      <w:r w:rsidR="00DC2BAD" w:rsidRPr="0094235C">
        <w:rPr>
          <w:rFonts w:cstheme="minorHAnsi"/>
          <w:sz w:val="20"/>
          <w:szCs w:val="20"/>
        </w:rPr>
        <w:t xml:space="preserve"> </w:t>
      </w:r>
      <w:r w:rsidR="0061741A" w:rsidRPr="0094235C">
        <w:rPr>
          <w:rFonts w:cstheme="minorHAnsi"/>
          <w:sz w:val="20"/>
          <w:szCs w:val="20"/>
        </w:rPr>
        <w:t xml:space="preserve">será labor de todas las instancias académicas y administrativas brindar la orientación y apoyo para que este grupo de estudiantes fortalezcan su desempeño académico </w:t>
      </w:r>
      <w:r w:rsidR="00D34F96" w:rsidRPr="0094235C">
        <w:rPr>
          <w:rFonts w:cstheme="minorHAnsi"/>
          <w:sz w:val="20"/>
          <w:szCs w:val="20"/>
        </w:rPr>
        <w:t>y orienten</w:t>
      </w:r>
      <w:r w:rsidR="0061741A" w:rsidRPr="0094235C">
        <w:rPr>
          <w:rFonts w:cstheme="minorHAnsi"/>
          <w:sz w:val="20"/>
          <w:szCs w:val="20"/>
        </w:rPr>
        <w:t xml:space="preserve"> a los que presentan ciertas dificultades</w:t>
      </w:r>
      <w:r w:rsidR="00EF39B9" w:rsidRPr="0094235C">
        <w:rPr>
          <w:rFonts w:cstheme="minorHAnsi"/>
          <w:sz w:val="20"/>
          <w:szCs w:val="20"/>
        </w:rPr>
        <w:t xml:space="preserve"> durante todo el proceso de formación académica</w:t>
      </w:r>
      <w:r w:rsidR="00903899" w:rsidRPr="0094235C">
        <w:rPr>
          <w:rFonts w:cstheme="minorHAnsi"/>
          <w:sz w:val="20"/>
          <w:szCs w:val="20"/>
        </w:rPr>
        <w:t xml:space="preserve"> hasta su graduación</w:t>
      </w:r>
      <w:r w:rsidR="0061741A" w:rsidRPr="0094235C">
        <w:rPr>
          <w:rFonts w:cstheme="minorHAnsi"/>
          <w:sz w:val="20"/>
          <w:szCs w:val="20"/>
        </w:rPr>
        <w:t>.</w:t>
      </w:r>
    </w:p>
    <w:p w:rsidR="0001186A" w:rsidRPr="00AD341F" w:rsidRDefault="0001186A" w:rsidP="001178D3">
      <w:pPr>
        <w:jc w:val="both"/>
        <w:rPr>
          <w:rFonts w:cstheme="minorHAnsi"/>
          <w:color w:val="FF0000"/>
          <w:sz w:val="20"/>
          <w:szCs w:val="20"/>
        </w:rPr>
      </w:pPr>
    </w:p>
    <w:p w:rsidR="0001186A" w:rsidRPr="000A1B78" w:rsidRDefault="0001186A" w:rsidP="001178D3">
      <w:pPr>
        <w:jc w:val="both"/>
        <w:rPr>
          <w:rFonts w:cstheme="minorHAnsi"/>
          <w:sz w:val="20"/>
          <w:szCs w:val="20"/>
        </w:rPr>
      </w:pPr>
    </w:p>
    <w:p w:rsidR="0010491B" w:rsidRPr="000A1B78" w:rsidRDefault="0010491B" w:rsidP="0010491B">
      <w:pPr>
        <w:pStyle w:val="Prrafodelista"/>
        <w:numPr>
          <w:ilvl w:val="0"/>
          <w:numId w:val="2"/>
        </w:numPr>
        <w:jc w:val="center"/>
        <w:rPr>
          <w:rFonts w:cstheme="minorHAnsi"/>
          <w:b/>
          <w:sz w:val="20"/>
          <w:szCs w:val="20"/>
        </w:rPr>
      </w:pPr>
      <w:r w:rsidRPr="000A1B78">
        <w:rPr>
          <w:rFonts w:cstheme="minorHAnsi"/>
          <w:b/>
          <w:sz w:val="20"/>
          <w:szCs w:val="20"/>
        </w:rPr>
        <w:t>RESULTADOS GENERALES</w:t>
      </w:r>
    </w:p>
    <w:p w:rsidR="009B4DB1" w:rsidRPr="000A1B78" w:rsidRDefault="00354077" w:rsidP="00E45AA3">
      <w:pPr>
        <w:pStyle w:val="Prrafodelista"/>
        <w:ind w:left="284" w:right="-682"/>
        <w:rPr>
          <w:rFonts w:cstheme="minorHAnsi"/>
          <w:b/>
          <w:sz w:val="20"/>
          <w:szCs w:val="20"/>
          <w:u w:val="single"/>
        </w:rPr>
      </w:pPr>
      <w:r>
        <w:rPr>
          <w:noProof/>
          <w:lang w:eastAsia="es-CO"/>
        </w:rPr>
        <w:drawing>
          <wp:inline distT="0" distB="0" distL="0" distR="0" wp14:anchorId="3380CB19" wp14:editId="61B48B2E">
            <wp:extent cx="5600700" cy="241935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5462" w:rsidRPr="000A1B78" w:rsidRDefault="00C35462" w:rsidP="009B4DB1">
      <w:pPr>
        <w:pStyle w:val="Prrafodelista"/>
        <w:ind w:right="-682"/>
        <w:rPr>
          <w:rFonts w:cstheme="minorHAnsi"/>
          <w:b/>
          <w:sz w:val="20"/>
          <w:szCs w:val="20"/>
          <w:u w:val="single"/>
        </w:rPr>
      </w:pPr>
    </w:p>
    <w:p w:rsidR="005E2B1A" w:rsidRPr="000A1B78" w:rsidRDefault="001B54AA" w:rsidP="009B4DB1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De acuerdo con las </w:t>
      </w:r>
      <w:r w:rsidR="001D2AA7" w:rsidRPr="000A1B78">
        <w:rPr>
          <w:rFonts w:cstheme="minorHAnsi"/>
          <w:sz w:val="20"/>
          <w:szCs w:val="20"/>
        </w:rPr>
        <w:t>gráficas</w:t>
      </w:r>
      <w:r w:rsidRPr="000A1B78">
        <w:rPr>
          <w:rFonts w:cstheme="minorHAnsi"/>
          <w:sz w:val="20"/>
          <w:szCs w:val="20"/>
        </w:rPr>
        <w:t xml:space="preserve"> se </w:t>
      </w:r>
      <w:r w:rsidR="001D2AA7" w:rsidRPr="000A1B78">
        <w:rPr>
          <w:rFonts w:cstheme="minorHAnsi"/>
          <w:sz w:val="20"/>
          <w:szCs w:val="20"/>
        </w:rPr>
        <w:t xml:space="preserve">percibe </w:t>
      </w:r>
      <w:r w:rsidR="00B519D8" w:rsidRPr="000A1B78">
        <w:rPr>
          <w:rFonts w:cstheme="minorHAnsi"/>
          <w:sz w:val="20"/>
          <w:szCs w:val="20"/>
        </w:rPr>
        <w:t xml:space="preserve">que </w:t>
      </w:r>
      <w:r w:rsidR="009A5DFB" w:rsidRPr="000A1B78">
        <w:rPr>
          <w:rFonts w:cstheme="minorHAnsi"/>
          <w:sz w:val="20"/>
          <w:szCs w:val="20"/>
        </w:rPr>
        <w:t xml:space="preserve">el promedio más alto corresponde a </w:t>
      </w:r>
      <w:r w:rsidR="00B519D8" w:rsidRPr="000A1B78">
        <w:rPr>
          <w:rFonts w:cstheme="minorHAnsi"/>
          <w:sz w:val="20"/>
          <w:szCs w:val="20"/>
        </w:rPr>
        <w:t>los</w:t>
      </w:r>
      <w:r w:rsidR="001D2AA7" w:rsidRPr="000A1B78">
        <w:rPr>
          <w:rFonts w:cstheme="minorHAnsi"/>
          <w:sz w:val="20"/>
          <w:szCs w:val="20"/>
        </w:rPr>
        <w:t xml:space="preserve"> programas de </w:t>
      </w:r>
      <w:r w:rsidR="002D0C24" w:rsidRPr="000A1B78">
        <w:rPr>
          <w:rFonts w:cstheme="minorHAnsi"/>
          <w:sz w:val="20"/>
          <w:szCs w:val="20"/>
        </w:rPr>
        <w:t>Medicina con</w:t>
      </w:r>
      <w:r w:rsidR="009A5DFB" w:rsidRPr="000A1B78">
        <w:rPr>
          <w:rFonts w:cstheme="minorHAnsi"/>
          <w:sz w:val="20"/>
          <w:szCs w:val="20"/>
        </w:rPr>
        <w:t xml:space="preserve"> </w:t>
      </w:r>
      <w:r w:rsidR="00466DC4" w:rsidRPr="000A1B78">
        <w:rPr>
          <w:rFonts w:cstheme="minorHAnsi"/>
          <w:sz w:val="20"/>
          <w:szCs w:val="20"/>
        </w:rPr>
        <w:t>6</w:t>
      </w:r>
      <w:r w:rsidR="009A5DFB" w:rsidRPr="000A1B78">
        <w:rPr>
          <w:rFonts w:cstheme="minorHAnsi"/>
          <w:sz w:val="20"/>
          <w:szCs w:val="20"/>
        </w:rPr>
        <w:t>5</w:t>
      </w:r>
      <w:r w:rsidR="00354077">
        <w:rPr>
          <w:rFonts w:cstheme="minorHAnsi"/>
          <w:sz w:val="20"/>
          <w:szCs w:val="20"/>
        </w:rPr>
        <w:t>,0 Química Farmacéutica con 61,4</w:t>
      </w:r>
      <w:r w:rsidR="006602E0">
        <w:rPr>
          <w:rFonts w:cstheme="minorHAnsi"/>
          <w:sz w:val="20"/>
          <w:szCs w:val="20"/>
        </w:rPr>
        <w:t xml:space="preserve"> y</w:t>
      </w:r>
      <w:r w:rsidR="005342C6" w:rsidRPr="000A1B78">
        <w:rPr>
          <w:rFonts w:cstheme="minorHAnsi"/>
          <w:sz w:val="20"/>
          <w:szCs w:val="20"/>
        </w:rPr>
        <w:t xml:space="preserve"> </w:t>
      </w:r>
      <w:r w:rsidR="006602E0">
        <w:rPr>
          <w:rFonts w:cstheme="minorHAnsi"/>
          <w:sz w:val="20"/>
          <w:szCs w:val="20"/>
        </w:rPr>
        <w:t xml:space="preserve">Química con 59,0 </w:t>
      </w:r>
      <w:r w:rsidR="005342C6" w:rsidRPr="000A1B78">
        <w:rPr>
          <w:rFonts w:cstheme="minorHAnsi"/>
          <w:sz w:val="20"/>
          <w:szCs w:val="20"/>
        </w:rPr>
        <w:t>en</w:t>
      </w:r>
      <w:r w:rsidR="008738BC" w:rsidRPr="000A1B78">
        <w:rPr>
          <w:rFonts w:cstheme="minorHAnsi"/>
          <w:sz w:val="20"/>
          <w:szCs w:val="20"/>
        </w:rPr>
        <w:t xml:space="preserve"> los resultados de la Prueba Saber 11 </w:t>
      </w:r>
      <w:r w:rsidR="001D2AA7" w:rsidRPr="000A1B78">
        <w:rPr>
          <w:rFonts w:cstheme="minorHAnsi"/>
          <w:sz w:val="20"/>
          <w:szCs w:val="20"/>
        </w:rPr>
        <w:t xml:space="preserve">con relación a los otros programas académicos.  </w:t>
      </w:r>
    </w:p>
    <w:p w:rsidR="00DF1196" w:rsidRPr="000A1B78" w:rsidRDefault="00DF1196" w:rsidP="009B4DB1">
      <w:pPr>
        <w:jc w:val="both"/>
        <w:rPr>
          <w:rFonts w:cstheme="minorHAnsi"/>
          <w:sz w:val="20"/>
          <w:szCs w:val="20"/>
        </w:rPr>
      </w:pPr>
    </w:p>
    <w:p w:rsidR="00C35462" w:rsidRPr="000A1B78" w:rsidRDefault="00354077" w:rsidP="00DF7F99">
      <w:pPr>
        <w:jc w:val="both"/>
        <w:rPr>
          <w:rFonts w:cstheme="minorHAnsi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37CBCD0F" wp14:editId="7BE1E48E">
            <wp:extent cx="5610225" cy="274320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3EFB" w:rsidRPr="000A1B78" w:rsidRDefault="00F86903" w:rsidP="00713EFB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>En el periodo del 2017</w:t>
      </w:r>
      <w:r w:rsidR="00713EFB" w:rsidRPr="000A1B78">
        <w:rPr>
          <w:rFonts w:cstheme="minorHAnsi"/>
          <w:sz w:val="20"/>
          <w:szCs w:val="20"/>
        </w:rPr>
        <w:t xml:space="preserve"> I</w:t>
      </w:r>
      <w:r w:rsidR="00851BC2">
        <w:rPr>
          <w:rFonts w:cstheme="minorHAnsi"/>
          <w:sz w:val="20"/>
          <w:szCs w:val="20"/>
        </w:rPr>
        <w:t>I</w:t>
      </w:r>
      <w:r w:rsidR="00713EFB" w:rsidRPr="000A1B78">
        <w:rPr>
          <w:rFonts w:cstheme="minorHAnsi"/>
          <w:sz w:val="20"/>
          <w:szCs w:val="20"/>
        </w:rPr>
        <w:t xml:space="preserve"> las áreas del conocimiento con mayor promedio en la prueba saber 11 fueron </w:t>
      </w:r>
      <w:r w:rsidR="0080161D" w:rsidRPr="000A1B78">
        <w:rPr>
          <w:rFonts w:cstheme="minorHAnsi"/>
          <w:sz w:val="20"/>
          <w:szCs w:val="20"/>
        </w:rPr>
        <w:t>i</w:t>
      </w:r>
      <w:r w:rsidR="00851BC2">
        <w:rPr>
          <w:rFonts w:cstheme="minorHAnsi"/>
          <w:sz w:val="20"/>
          <w:szCs w:val="20"/>
        </w:rPr>
        <w:t>ngles con 55,0</w:t>
      </w:r>
      <w:r w:rsidR="008F4569" w:rsidRPr="000A1B78">
        <w:rPr>
          <w:rFonts w:cstheme="minorHAnsi"/>
          <w:sz w:val="20"/>
          <w:szCs w:val="20"/>
        </w:rPr>
        <w:t xml:space="preserve"> y competencias ciudadanas con 53,</w:t>
      </w:r>
      <w:r w:rsidR="00851BC2">
        <w:rPr>
          <w:rFonts w:cstheme="minorHAnsi"/>
          <w:sz w:val="20"/>
          <w:szCs w:val="20"/>
        </w:rPr>
        <w:t>5</w:t>
      </w:r>
      <w:r w:rsidR="008A42A9" w:rsidRPr="000A1B78">
        <w:rPr>
          <w:rFonts w:cstheme="minorHAnsi"/>
          <w:sz w:val="20"/>
          <w:szCs w:val="20"/>
        </w:rPr>
        <w:t xml:space="preserve"> y</w:t>
      </w:r>
      <w:r w:rsidR="00713EFB" w:rsidRPr="000A1B78">
        <w:rPr>
          <w:rFonts w:cstheme="minorHAnsi"/>
          <w:sz w:val="20"/>
          <w:szCs w:val="20"/>
        </w:rPr>
        <w:t xml:space="preserve"> el área con menor promedio fue </w:t>
      </w:r>
      <w:r w:rsidR="00C0411C" w:rsidRPr="000A1B78">
        <w:rPr>
          <w:rFonts w:cstheme="minorHAnsi"/>
          <w:sz w:val="20"/>
          <w:szCs w:val="20"/>
        </w:rPr>
        <w:t>l</w:t>
      </w:r>
      <w:r w:rsidR="00713EFB" w:rsidRPr="000A1B78">
        <w:rPr>
          <w:rFonts w:cstheme="minorHAnsi"/>
          <w:sz w:val="20"/>
          <w:szCs w:val="20"/>
        </w:rPr>
        <w:t xml:space="preserve">ectura </w:t>
      </w:r>
      <w:r w:rsidR="00C0411C" w:rsidRPr="000A1B78">
        <w:rPr>
          <w:rFonts w:cstheme="minorHAnsi"/>
          <w:sz w:val="20"/>
          <w:szCs w:val="20"/>
        </w:rPr>
        <w:t>c</w:t>
      </w:r>
      <w:r w:rsidR="00851BC2">
        <w:rPr>
          <w:rFonts w:cstheme="minorHAnsi"/>
          <w:sz w:val="20"/>
          <w:szCs w:val="20"/>
        </w:rPr>
        <w:t>rítica con 52,6</w:t>
      </w:r>
      <w:r w:rsidR="00713EFB" w:rsidRPr="000A1B78">
        <w:rPr>
          <w:rFonts w:cstheme="minorHAnsi"/>
          <w:sz w:val="20"/>
          <w:szCs w:val="20"/>
        </w:rPr>
        <w:t>; razón por lo que se sugiere reforzar el área en mención mediante metodologías y técnicas pedagógicas que mejoren la competencia de argumentación, comunicación oral - escrita y expresión de conceptos.</w:t>
      </w:r>
    </w:p>
    <w:p w:rsidR="00954DC8" w:rsidRDefault="00954DC8" w:rsidP="00C560F9">
      <w:pPr>
        <w:pStyle w:val="Prrafodelista"/>
        <w:rPr>
          <w:rFonts w:cstheme="minorHAnsi"/>
          <w:b/>
          <w:sz w:val="20"/>
          <w:szCs w:val="20"/>
        </w:rPr>
      </w:pPr>
    </w:p>
    <w:p w:rsidR="000A1B78" w:rsidRDefault="000A1B78" w:rsidP="00C560F9">
      <w:pPr>
        <w:pStyle w:val="Prrafodelista"/>
        <w:rPr>
          <w:rFonts w:cstheme="minorHAnsi"/>
          <w:b/>
          <w:sz w:val="20"/>
          <w:szCs w:val="20"/>
        </w:rPr>
      </w:pPr>
    </w:p>
    <w:p w:rsidR="002D661F" w:rsidRPr="000A1B78" w:rsidRDefault="00FB7F03" w:rsidP="002D661F">
      <w:pPr>
        <w:pStyle w:val="Prrafodelista"/>
        <w:numPr>
          <w:ilvl w:val="0"/>
          <w:numId w:val="2"/>
        </w:numPr>
        <w:jc w:val="center"/>
        <w:rPr>
          <w:rFonts w:cstheme="minorHAnsi"/>
          <w:b/>
          <w:sz w:val="20"/>
          <w:szCs w:val="20"/>
        </w:rPr>
      </w:pPr>
      <w:r w:rsidRPr="000A1B78">
        <w:rPr>
          <w:rFonts w:cstheme="minorHAnsi"/>
          <w:b/>
          <w:sz w:val="20"/>
          <w:szCs w:val="20"/>
        </w:rPr>
        <w:lastRenderedPageBreak/>
        <w:t>RESULTADOS POR PROGRAMA Y ÁREA DEL CONOCIMIENTO</w:t>
      </w:r>
    </w:p>
    <w:p w:rsidR="002D661F" w:rsidRPr="000A1B78" w:rsidRDefault="002D661F" w:rsidP="002D661F">
      <w:pPr>
        <w:pStyle w:val="Prrafodelista"/>
        <w:rPr>
          <w:rFonts w:cstheme="minorHAnsi"/>
          <w:b/>
          <w:sz w:val="20"/>
          <w:szCs w:val="20"/>
        </w:rPr>
      </w:pPr>
    </w:p>
    <w:p w:rsidR="00202157" w:rsidRPr="000A1B78" w:rsidRDefault="00851BC2" w:rsidP="002D661F">
      <w:pPr>
        <w:pStyle w:val="Prrafodelista"/>
        <w:ind w:left="142"/>
        <w:rPr>
          <w:rFonts w:cstheme="minorHAnsi"/>
          <w:b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0C892AD5" wp14:editId="12B92E42">
            <wp:extent cx="5591175" cy="23622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4076" w:rsidRPr="000A1B78" w:rsidRDefault="00B84076" w:rsidP="00B84076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En el Área de Lectura Crítica se observa en la gráfica que el programa de Medicina tiene un promedio de </w:t>
      </w:r>
      <w:r w:rsidR="00851BC2">
        <w:rPr>
          <w:rFonts w:cstheme="minorHAnsi"/>
          <w:sz w:val="20"/>
          <w:szCs w:val="20"/>
        </w:rPr>
        <w:t>63,3</w:t>
      </w:r>
      <w:r w:rsidRPr="000A1B78">
        <w:rPr>
          <w:rFonts w:cstheme="minorHAnsi"/>
          <w:sz w:val="20"/>
          <w:szCs w:val="20"/>
        </w:rPr>
        <w:t xml:space="preserve"> </w:t>
      </w:r>
      <w:r w:rsidR="00A91B60" w:rsidRPr="000A1B78">
        <w:rPr>
          <w:rFonts w:cstheme="minorHAnsi"/>
          <w:sz w:val="20"/>
          <w:szCs w:val="20"/>
        </w:rPr>
        <w:t>y Química</w:t>
      </w:r>
      <w:r w:rsidR="00851BC2">
        <w:rPr>
          <w:rFonts w:cstheme="minorHAnsi"/>
          <w:sz w:val="20"/>
          <w:szCs w:val="20"/>
        </w:rPr>
        <w:t xml:space="preserve"> Farmacéutica 60</w:t>
      </w:r>
      <w:r w:rsidR="00C544C4" w:rsidRPr="000A1B78">
        <w:rPr>
          <w:rFonts w:cstheme="minorHAnsi"/>
          <w:sz w:val="20"/>
          <w:szCs w:val="20"/>
        </w:rPr>
        <w:t>,7 aspectos</w:t>
      </w:r>
      <w:r w:rsidRPr="000A1B78">
        <w:rPr>
          <w:rFonts w:cstheme="minorHAnsi"/>
          <w:sz w:val="20"/>
          <w:szCs w:val="20"/>
        </w:rPr>
        <w:t xml:space="preserve"> que favorecen el pensamiento lógico, la argumentación, interpretación, y comunicación oral y escrita durante el proceso de aprendizaje. </w:t>
      </w:r>
      <w:r w:rsidR="00703F72" w:rsidRPr="000A1B78">
        <w:rPr>
          <w:rFonts w:cstheme="minorHAnsi"/>
          <w:sz w:val="20"/>
          <w:szCs w:val="20"/>
        </w:rPr>
        <w:t>Se evidencia c</w:t>
      </w:r>
      <w:r w:rsidRPr="000A1B78">
        <w:rPr>
          <w:rFonts w:cstheme="minorHAnsi"/>
          <w:sz w:val="20"/>
          <w:szCs w:val="20"/>
        </w:rPr>
        <w:t xml:space="preserve">on un menor </w:t>
      </w:r>
      <w:r w:rsidR="002D0C24" w:rsidRPr="000A1B78">
        <w:rPr>
          <w:rFonts w:cstheme="minorHAnsi"/>
          <w:sz w:val="20"/>
          <w:szCs w:val="20"/>
        </w:rPr>
        <w:t>promedio el</w:t>
      </w:r>
      <w:r w:rsidRPr="000A1B78">
        <w:rPr>
          <w:rFonts w:cstheme="minorHAnsi"/>
          <w:sz w:val="20"/>
          <w:szCs w:val="20"/>
        </w:rPr>
        <w:t xml:space="preserve"> programa de</w:t>
      </w:r>
      <w:r w:rsidR="00A91B60" w:rsidRPr="000A1B78">
        <w:rPr>
          <w:rFonts w:cstheme="minorHAnsi"/>
          <w:sz w:val="20"/>
          <w:szCs w:val="20"/>
        </w:rPr>
        <w:t xml:space="preserve"> </w:t>
      </w:r>
      <w:r w:rsidR="00851BC2">
        <w:rPr>
          <w:rFonts w:cstheme="minorHAnsi"/>
          <w:sz w:val="20"/>
          <w:szCs w:val="20"/>
        </w:rPr>
        <w:t>Contaduría Pública con un 45,6</w:t>
      </w:r>
      <w:r w:rsidR="00A91B60" w:rsidRPr="000A1B78">
        <w:rPr>
          <w:rFonts w:cstheme="minorHAnsi"/>
          <w:sz w:val="20"/>
          <w:szCs w:val="20"/>
        </w:rPr>
        <w:t xml:space="preserve"> y </w:t>
      </w:r>
      <w:r w:rsidR="00851BC2">
        <w:rPr>
          <w:rFonts w:cstheme="minorHAnsi"/>
          <w:sz w:val="20"/>
          <w:szCs w:val="20"/>
        </w:rPr>
        <w:t>Licenciatura en Ciencias Naturales con un 47,5</w:t>
      </w:r>
      <w:r w:rsidRPr="000A1B78">
        <w:rPr>
          <w:rFonts w:cstheme="minorHAnsi"/>
          <w:sz w:val="20"/>
          <w:szCs w:val="20"/>
        </w:rPr>
        <w:t xml:space="preserve"> siendo esta un área muy importante </w:t>
      </w:r>
      <w:r w:rsidR="00A91B60" w:rsidRPr="000A1B78">
        <w:rPr>
          <w:rFonts w:cstheme="minorHAnsi"/>
          <w:sz w:val="20"/>
          <w:szCs w:val="20"/>
        </w:rPr>
        <w:t xml:space="preserve">en el proceso de aprendizaje y apropiación del conocimiento; </w:t>
      </w:r>
      <w:r w:rsidRPr="000A1B78">
        <w:rPr>
          <w:rFonts w:cstheme="minorHAnsi"/>
          <w:sz w:val="20"/>
          <w:szCs w:val="20"/>
        </w:rPr>
        <w:t xml:space="preserve">se hace necesario prestar atención y fortalecer </w:t>
      </w:r>
      <w:r w:rsidR="00703F72" w:rsidRPr="000A1B78">
        <w:rPr>
          <w:rFonts w:cstheme="minorHAnsi"/>
          <w:sz w:val="20"/>
          <w:szCs w:val="20"/>
        </w:rPr>
        <w:t>la lectura y argumentación escrita y verbal</w:t>
      </w:r>
      <w:r w:rsidR="000668E8" w:rsidRPr="000A1B78">
        <w:rPr>
          <w:rFonts w:cstheme="minorHAnsi"/>
          <w:sz w:val="20"/>
          <w:szCs w:val="20"/>
        </w:rPr>
        <w:t xml:space="preserve"> m</w:t>
      </w:r>
      <w:r w:rsidRPr="000A1B78">
        <w:rPr>
          <w:rFonts w:cstheme="minorHAnsi"/>
          <w:sz w:val="20"/>
          <w:szCs w:val="20"/>
        </w:rPr>
        <w:t>ediante técnicas y metodologías didácticas que permitan un mejor desempeño académico desde esta área de</w:t>
      </w:r>
      <w:r w:rsidR="00C544C4" w:rsidRPr="000A1B78">
        <w:rPr>
          <w:rFonts w:cstheme="minorHAnsi"/>
          <w:sz w:val="20"/>
          <w:szCs w:val="20"/>
        </w:rPr>
        <w:t>l conocimiento.</w:t>
      </w:r>
      <w:r w:rsidR="00A91B60" w:rsidRPr="000A1B78">
        <w:rPr>
          <w:rFonts w:cstheme="minorHAnsi"/>
          <w:sz w:val="20"/>
          <w:szCs w:val="20"/>
        </w:rPr>
        <w:t xml:space="preserve"> </w:t>
      </w:r>
    </w:p>
    <w:p w:rsidR="00202157" w:rsidRPr="000A1B78" w:rsidRDefault="00851BC2" w:rsidP="00954DC8">
      <w:pPr>
        <w:pStyle w:val="Prrafodelista"/>
        <w:rPr>
          <w:rFonts w:cstheme="minorHAnsi"/>
          <w:b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3D9A916" wp14:editId="0038A68F">
            <wp:simplePos x="0" y="0"/>
            <wp:positionH relativeFrom="column">
              <wp:posOffset>167640</wp:posOffset>
            </wp:positionH>
            <wp:positionV relativeFrom="paragraph">
              <wp:posOffset>207645</wp:posOffset>
            </wp:positionV>
            <wp:extent cx="5581650" cy="2638425"/>
            <wp:effectExtent l="0" t="0" r="0" b="9525"/>
            <wp:wrapSquare wrapText="bothSides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202157" w:rsidRPr="000A1B78" w:rsidRDefault="00202157" w:rsidP="00202157">
      <w:pPr>
        <w:pStyle w:val="Prrafodelista"/>
        <w:ind w:hanging="720"/>
        <w:rPr>
          <w:rFonts w:cstheme="minorHAnsi"/>
          <w:b/>
          <w:sz w:val="20"/>
          <w:szCs w:val="20"/>
        </w:rPr>
      </w:pPr>
    </w:p>
    <w:p w:rsidR="00955D34" w:rsidRPr="000A1B78" w:rsidRDefault="00955D34" w:rsidP="00955D34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>Se percibe en la gráfica que el área del conocimiento en Competencias Ciudadanas y Sociales obtuvieron los mayores promedios el programa de Medicina</w:t>
      </w:r>
      <w:r w:rsidR="00851BC2">
        <w:rPr>
          <w:rFonts w:cstheme="minorHAnsi"/>
          <w:sz w:val="20"/>
          <w:szCs w:val="20"/>
        </w:rPr>
        <w:t xml:space="preserve"> c</w:t>
      </w:r>
      <w:r w:rsidR="00AD341F">
        <w:rPr>
          <w:rFonts w:cstheme="minorHAnsi"/>
          <w:sz w:val="20"/>
          <w:szCs w:val="20"/>
        </w:rPr>
        <w:t xml:space="preserve">on 64,7 y Ciencias Ambientales </w:t>
      </w:r>
      <w:r w:rsidR="00851BC2">
        <w:rPr>
          <w:rFonts w:cstheme="minorHAnsi"/>
          <w:sz w:val="20"/>
          <w:szCs w:val="20"/>
        </w:rPr>
        <w:t>con un promedio de 60,8</w:t>
      </w:r>
      <w:r w:rsidRPr="000A1B78">
        <w:rPr>
          <w:rFonts w:cstheme="minorHAnsi"/>
          <w:sz w:val="20"/>
          <w:szCs w:val="20"/>
        </w:rPr>
        <w:t xml:space="preserve">; presentando el promedio más bajo el </w:t>
      </w:r>
      <w:r w:rsidR="0095793F" w:rsidRPr="000A1B78">
        <w:rPr>
          <w:rFonts w:cstheme="minorHAnsi"/>
          <w:sz w:val="20"/>
          <w:szCs w:val="20"/>
        </w:rPr>
        <w:t>programa M.V.Z.</w:t>
      </w:r>
      <w:r w:rsidR="00DC1A98" w:rsidRPr="000A1B78">
        <w:rPr>
          <w:rFonts w:cstheme="minorHAnsi"/>
          <w:sz w:val="20"/>
          <w:szCs w:val="20"/>
        </w:rPr>
        <w:t>,</w:t>
      </w:r>
      <w:r w:rsidR="004923BC" w:rsidRPr="000A1B78">
        <w:rPr>
          <w:rFonts w:cstheme="minorHAnsi"/>
          <w:sz w:val="20"/>
          <w:szCs w:val="20"/>
        </w:rPr>
        <w:t xml:space="preserve"> Cartagena</w:t>
      </w:r>
      <w:r w:rsidR="00FD14E9">
        <w:rPr>
          <w:rFonts w:cstheme="minorHAnsi"/>
          <w:sz w:val="20"/>
          <w:szCs w:val="20"/>
        </w:rPr>
        <w:t xml:space="preserve"> 42,1</w:t>
      </w:r>
      <w:r w:rsidR="00DC1A98" w:rsidRPr="000A1B78">
        <w:rPr>
          <w:rFonts w:cstheme="minorHAnsi"/>
          <w:sz w:val="20"/>
          <w:szCs w:val="20"/>
        </w:rPr>
        <w:t xml:space="preserve"> y</w:t>
      </w:r>
      <w:r w:rsidR="004923BC" w:rsidRPr="000A1B78">
        <w:rPr>
          <w:rFonts w:cstheme="minorHAnsi"/>
          <w:sz w:val="20"/>
          <w:szCs w:val="20"/>
        </w:rPr>
        <w:t xml:space="preserve"> </w:t>
      </w:r>
      <w:r w:rsidR="00FD14E9">
        <w:rPr>
          <w:rFonts w:cstheme="minorHAnsi"/>
          <w:sz w:val="20"/>
          <w:szCs w:val="20"/>
        </w:rPr>
        <w:t>Derecho</w:t>
      </w:r>
      <w:r w:rsidRPr="000A1B78">
        <w:rPr>
          <w:rFonts w:cstheme="minorHAnsi"/>
          <w:sz w:val="20"/>
          <w:szCs w:val="20"/>
        </w:rPr>
        <w:t xml:space="preserve"> con </w:t>
      </w:r>
      <w:r w:rsidR="002D0C24" w:rsidRPr="000A1B78">
        <w:rPr>
          <w:rFonts w:cstheme="minorHAnsi"/>
          <w:sz w:val="20"/>
          <w:szCs w:val="20"/>
        </w:rPr>
        <w:t>4</w:t>
      </w:r>
      <w:r w:rsidR="00FD7585" w:rsidRPr="000A1B78">
        <w:rPr>
          <w:rFonts w:cstheme="minorHAnsi"/>
          <w:sz w:val="20"/>
          <w:szCs w:val="20"/>
        </w:rPr>
        <w:t>6,7</w:t>
      </w:r>
      <w:r w:rsidR="002D0C24" w:rsidRPr="000A1B78">
        <w:rPr>
          <w:rFonts w:cstheme="minorHAnsi"/>
          <w:sz w:val="20"/>
          <w:szCs w:val="20"/>
        </w:rPr>
        <w:t>; aspecto</w:t>
      </w:r>
      <w:r w:rsidRPr="000A1B78">
        <w:rPr>
          <w:rFonts w:cstheme="minorHAnsi"/>
          <w:sz w:val="20"/>
          <w:szCs w:val="20"/>
        </w:rPr>
        <w:t xml:space="preserve"> el cual se debe reforzar en las asignaturas relacionadas con el área</w:t>
      </w:r>
      <w:r w:rsidR="00FD7585" w:rsidRPr="000A1B78">
        <w:rPr>
          <w:rFonts w:cstheme="minorHAnsi"/>
          <w:sz w:val="20"/>
          <w:szCs w:val="20"/>
        </w:rPr>
        <w:t xml:space="preserve"> social y humana,</w:t>
      </w:r>
      <w:r w:rsidRPr="000A1B78">
        <w:rPr>
          <w:rFonts w:cstheme="minorHAnsi"/>
          <w:sz w:val="20"/>
          <w:szCs w:val="20"/>
        </w:rPr>
        <w:t xml:space="preserve"> mediante metodologías y técnicas pedagógicas que permitan la apropiación del conocimiento.    </w:t>
      </w:r>
    </w:p>
    <w:p w:rsidR="00202157" w:rsidRPr="000A1B78" w:rsidRDefault="00FD14E9" w:rsidP="00A1490E">
      <w:pPr>
        <w:pStyle w:val="Prrafodelista"/>
        <w:ind w:hanging="720"/>
        <w:rPr>
          <w:rFonts w:cstheme="minorHAnsi"/>
          <w:b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41AC0FD9" wp14:editId="7FD7589C">
            <wp:extent cx="5581650" cy="27432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186E" w:rsidRDefault="00E67580" w:rsidP="00E67580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>De acuerdo con los resultados se observa que el mayor promedio en el área de Ciencias Naturales lo obtuvo el programa de Medicina con 64,</w:t>
      </w:r>
      <w:r w:rsidR="00EE76E9" w:rsidRPr="000A1B78">
        <w:rPr>
          <w:rFonts w:cstheme="minorHAnsi"/>
          <w:sz w:val="20"/>
          <w:szCs w:val="20"/>
        </w:rPr>
        <w:t>7 y</w:t>
      </w:r>
      <w:r w:rsidRPr="000A1B78">
        <w:rPr>
          <w:rFonts w:cstheme="minorHAnsi"/>
          <w:sz w:val="20"/>
          <w:szCs w:val="20"/>
        </w:rPr>
        <w:t xml:space="preserve"> </w:t>
      </w:r>
      <w:r w:rsidR="00FD14E9">
        <w:rPr>
          <w:rFonts w:cstheme="minorHAnsi"/>
          <w:sz w:val="20"/>
          <w:szCs w:val="20"/>
        </w:rPr>
        <w:t>Química Farmacéutica</w:t>
      </w:r>
      <w:r w:rsidRPr="000A1B78">
        <w:rPr>
          <w:rFonts w:cstheme="minorHAnsi"/>
          <w:sz w:val="20"/>
          <w:szCs w:val="20"/>
        </w:rPr>
        <w:t xml:space="preserve"> </w:t>
      </w:r>
      <w:r w:rsidR="00FD14E9">
        <w:rPr>
          <w:rFonts w:cstheme="minorHAnsi"/>
          <w:sz w:val="20"/>
          <w:szCs w:val="20"/>
        </w:rPr>
        <w:t>con 61,5</w:t>
      </w:r>
      <w:r w:rsidRPr="000A1B78">
        <w:rPr>
          <w:rFonts w:cstheme="minorHAnsi"/>
          <w:sz w:val="20"/>
          <w:szCs w:val="20"/>
        </w:rPr>
        <w:t xml:space="preserve">; el promedio bajo en esta área </w:t>
      </w:r>
      <w:r w:rsidR="00EE76E9" w:rsidRPr="000A1B78">
        <w:rPr>
          <w:rFonts w:cstheme="minorHAnsi"/>
          <w:sz w:val="20"/>
          <w:szCs w:val="20"/>
        </w:rPr>
        <w:t xml:space="preserve">se referencia en </w:t>
      </w:r>
      <w:r w:rsidRPr="000A1B78">
        <w:rPr>
          <w:rFonts w:cstheme="minorHAnsi"/>
          <w:sz w:val="20"/>
          <w:szCs w:val="20"/>
        </w:rPr>
        <w:t xml:space="preserve">el programa </w:t>
      </w:r>
      <w:r w:rsidR="00FD14E9">
        <w:rPr>
          <w:rFonts w:cstheme="minorHAnsi"/>
          <w:sz w:val="20"/>
          <w:szCs w:val="20"/>
        </w:rPr>
        <w:t xml:space="preserve">de </w:t>
      </w:r>
      <w:r w:rsidR="00EE76E9" w:rsidRPr="000A1B78">
        <w:rPr>
          <w:rFonts w:cstheme="minorHAnsi"/>
          <w:sz w:val="20"/>
          <w:szCs w:val="20"/>
        </w:rPr>
        <w:t>Licen</w:t>
      </w:r>
      <w:r w:rsidR="00FD14E9">
        <w:rPr>
          <w:rFonts w:cstheme="minorHAnsi"/>
          <w:sz w:val="20"/>
          <w:szCs w:val="20"/>
        </w:rPr>
        <w:t>ciatura en Ciencias Naturales 45,6 y Derecho 47,5</w:t>
      </w:r>
      <w:r w:rsidR="00EE76E9" w:rsidRPr="000A1B78">
        <w:rPr>
          <w:rFonts w:cstheme="minorHAnsi"/>
          <w:sz w:val="20"/>
          <w:szCs w:val="20"/>
        </w:rPr>
        <w:t xml:space="preserve">; razón por la que se recomienda </w:t>
      </w:r>
      <w:r w:rsidRPr="000A1B78">
        <w:rPr>
          <w:rFonts w:cstheme="minorHAnsi"/>
          <w:sz w:val="20"/>
          <w:szCs w:val="20"/>
        </w:rPr>
        <w:t>reforza</w:t>
      </w:r>
      <w:r w:rsidR="00EE76E9" w:rsidRPr="000A1B78">
        <w:rPr>
          <w:rFonts w:cstheme="minorHAnsi"/>
          <w:sz w:val="20"/>
          <w:szCs w:val="20"/>
        </w:rPr>
        <w:t xml:space="preserve">r el área en mención </w:t>
      </w:r>
      <w:r w:rsidRPr="000A1B78">
        <w:rPr>
          <w:rFonts w:cstheme="minorHAnsi"/>
          <w:sz w:val="20"/>
          <w:szCs w:val="20"/>
        </w:rPr>
        <w:t xml:space="preserve"> en las actividades académicas</w:t>
      </w:r>
      <w:r w:rsidR="00EE76E9" w:rsidRPr="000A1B78">
        <w:rPr>
          <w:rFonts w:cstheme="minorHAnsi"/>
          <w:sz w:val="20"/>
          <w:szCs w:val="20"/>
        </w:rPr>
        <w:t>,</w:t>
      </w:r>
      <w:r w:rsidRPr="000A1B78">
        <w:rPr>
          <w:rFonts w:cstheme="minorHAnsi"/>
          <w:sz w:val="20"/>
          <w:szCs w:val="20"/>
        </w:rPr>
        <w:t xml:space="preserve"> con el fin de </w:t>
      </w:r>
      <w:r w:rsidR="00EE76E9" w:rsidRPr="000A1B78">
        <w:rPr>
          <w:rFonts w:cstheme="minorHAnsi"/>
          <w:sz w:val="20"/>
          <w:szCs w:val="20"/>
        </w:rPr>
        <w:t xml:space="preserve">disminuir </w:t>
      </w:r>
      <w:r w:rsidRPr="000A1B78">
        <w:rPr>
          <w:rFonts w:cstheme="minorHAnsi"/>
          <w:sz w:val="20"/>
          <w:szCs w:val="20"/>
        </w:rPr>
        <w:t xml:space="preserve">las falencias que puedan estar presentando los estudiantes </w:t>
      </w:r>
      <w:r w:rsidR="00EE76E9" w:rsidRPr="000A1B78">
        <w:rPr>
          <w:rFonts w:cstheme="minorHAnsi"/>
          <w:sz w:val="20"/>
          <w:szCs w:val="20"/>
        </w:rPr>
        <w:t xml:space="preserve"> y que </w:t>
      </w:r>
      <w:r w:rsidRPr="000A1B78">
        <w:rPr>
          <w:rFonts w:cstheme="minorHAnsi"/>
          <w:sz w:val="20"/>
          <w:szCs w:val="20"/>
        </w:rPr>
        <w:t>pueden ir en detrimento de su desempeño académico.</w:t>
      </w:r>
      <w:r w:rsidR="00EE76E9" w:rsidRPr="000A1B78">
        <w:rPr>
          <w:rFonts w:cstheme="minorHAnsi"/>
          <w:sz w:val="20"/>
          <w:szCs w:val="20"/>
        </w:rPr>
        <w:t xml:space="preserve"> Es de mencionar que esta es una de las áreas en las que se presenta mayor pérdida de asignaturas en los diferentes programas académicos.</w:t>
      </w:r>
    </w:p>
    <w:p w:rsidR="00B25955" w:rsidRPr="000A1B78" w:rsidRDefault="00B25955" w:rsidP="00E67580">
      <w:pPr>
        <w:jc w:val="both"/>
        <w:rPr>
          <w:rFonts w:cstheme="minorHAnsi"/>
          <w:sz w:val="20"/>
          <w:szCs w:val="20"/>
        </w:rPr>
      </w:pPr>
    </w:p>
    <w:p w:rsidR="00C560F9" w:rsidRPr="000A1B78" w:rsidRDefault="00FD14E9" w:rsidP="00682ADF">
      <w:pPr>
        <w:jc w:val="both"/>
        <w:rPr>
          <w:rFonts w:cstheme="minorHAnsi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72E31393" wp14:editId="050751BA">
            <wp:extent cx="5629275" cy="2743200"/>
            <wp:effectExtent l="0" t="0" r="9525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5520" w:rsidRPr="000A1B78" w:rsidRDefault="00D65520" w:rsidP="00D65520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>Como se observa en la gráfica en el área de Matemática</w:t>
      </w:r>
      <w:r w:rsidR="0079484C">
        <w:rPr>
          <w:rFonts w:cstheme="minorHAnsi"/>
          <w:sz w:val="20"/>
          <w:szCs w:val="20"/>
        </w:rPr>
        <w:t xml:space="preserve">s el mayor promedio lo obtuvo </w:t>
      </w:r>
      <w:r w:rsidRPr="000A1B78">
        <w:rPr>
          <w:rFonts w:cstheme="minorHAnsi"/>
          <w:sz w:val="20"/>
          <w:szCs w:val="20"/>
        </w:rPr>
        <w:t xml:space="preserve">el programa de Medicina con </w:t>
      </w:r>
      <w:r w:rsidR="002D0C24" w:rsidRPr="000A1B78">
        <w:rPr>
          <w:rFonts w:cstheme="minorHAnsi"/>
          <w:sz w:val="20"/>
          <w:szCs w:val="20"/>
        </w:rPr>
        <w:t>6</w:t>
      </w:r>
      <w:r w:rsidR="00FD14E9">
        <w:rPr>
          <w:rFonts w:cstheme="minorHAnsi"/>
          <w:sz w:val="20"/>
          <w:szCs w:val="20"/>
        </w:rPr>
        <w:t>4,4</w:t>
      </w:r>
      <w:r w:rsidR="002D0C24" w:rsidRPr="000A1B78">
        <w:rPr>
          <w:rFonts w:cstheme="minorHAnsi"/>
          <w:sz w:val="20"/>
          <w:szCs w:val="20"/>
        </w:rPr>
        <w:t xml:space="preserve"> </w:t>
      </w:r>
      <w:r w:rsidR="00FD14E9">
        <w:rPr>
          <w:rFonts w:cstheme="minorHAnsi"/>
          <w:sz w:val="20"/>
          <w:szCs w:val="20"/>
        </w:rPr>
        <w:t xml:space="preserve"> y Química Farmacéutica 62,5</w:t>
      </w:r>
      <w:r w:rsidR="0079484C">
        <w:rPr>
          <w:rFonts w:cstheme="minorHAnsi"/>
          <w:sz w:val="20"/>
          <w:szCs w:val="20"/>
        </w:rPr>
        <w:t>,</w:t>
      </w:r>
      <w:r w:rsidR="00FD14E9">
        <w:rPr>
          <w:rFonts w:cstheme="minorHAnsi"/>
          <w:sz w:val="20"/>
          <w:szCs w:val="20"/>
        </w:rPr>
        <w:t xml:space="preserve"> </w:t>
      </w:r>
      <w:r w:rsidRPr="000A1B78">
        <w:rPr>
          <w:rFonts w:cstheme="minorHAnsi"/>
          <w:sz w:val="20"/>
          <w:szCs w:val="20"/>
        </w:rPr>
        <w:t>resultados que favorecen</w:t>
      </w:r>
      <w:r w:rsidR="00B50A70" w:rsidRPr="000A1B78">
        <w:rPr>
          <w:rFonts w:cstheme="minorHAnsi"/>
          <w:sz w:val="20"/>
          <w:szCs w:val="20"/>
        </w:rPr>
        <w:t xml:space="preserve"> el proceso del aprendizaje en</w:t>
      </w:r>
      <w:r w:rsidRPr="000A1B78">
        <w:rPr>
          <w:rFonts w:cstheme="minorHAnsi"/>
          <w:sz w:val="20"/>
          <w:szCs w:val="20"/>
        </w:rPr>
        <w:t xml:space="preserve"> el área de las ciencias básicas  y el menor promedio </w:t>
      </w:r>
      <w:r w:rsidR="00FD14E9">
        <w:rPr>
          <w:rFonts w:cstheme="minorHAnsi"/>
          <w:sz w:val="20"/>
          <w:szCs w:val="20"/>
        </w:rPr>
        <w:t>43,6</w:t>
      </w:r>
      <w:r w:rsidR="00AE5422" w:rsidRPr="000A1B78">
        <w:rPr>
          <w:rFonts w:cstheme="minorHAnsi"/>
          <w:sz w:val="20"/>
          <w:szCs w:val="20"/>
        </w:rPr>
        <w:t xml:space="preserve"> </w:t>
      </w:r>
      <w:r w:rsidRPr="000A1B78">
        <w:rPr>
          <w:rFonts w:cstheme="minorHAnsi"/>
          <w:sz w:val="20"/>
          <w:szCs w:val="20"/>
        </w:rPr>
        <w:t xml:space="preserve">el programa de M.V.Z. Cartagena y </w:t>
      </w:r>
      <w:r w:rsidR="00FD14E9">
        <w:rPr>
          <w:rFonts w:cstheme="minorHAnsi"/>
          <w:sz w:val="20"/>
          <w:szCs w:val="20"/>
        </w:rPr>
        <w:t>Licenciatura en Ciencias Naturales</w:t>
      </w:r>
      <w:r w:rsidRPr="000A1B78">
        <w:rPr>
          <w:rFonts w:cstheme="minorHAnsi"/>
          <w:sz w:val="20"/>
          <w:szCs w:val="20"/>
        </w:rPr>
        <w:t xml:space="preserve"> con </w:t>
      </w:r>
      <w:r w:rsidR="00981139" w:rsidRPr="000A1B78">
        <w:rPr>
          <w:rFonts w:cstheme="minorHAnsi"/>
          <w:sz w:val="20"/>
          <w:szCs w:val="20"/>
        </w:rPr>
        <w:t>4</w:t>
      </w:r>
      <w:r w:rsidR="00FD14E9">
        <w:rPr>
          <w:rFonts w:cstheme="minorHAnsi"/>
          <w:sz w:val="20"/>
          <w:szCs w:val="20"/>
        </w:rPr>
        <w:t>6,5</w:t>
      </w:r>
      <w:r w:rsidR="00981139" w:rsidRPr="000A1B78">
        <w:rPr>
          <w:rFonts w:cstheme="minorHAnsi"/>
          <w:sz w:val="20"/>
          <w:szCs w:val="20"/>
        </w:rPr>
        <w:t xml:space="preserve"> aspecto</w:t>
      </w:r>
      <w:r w:rsidRPr="000A1B78">
        <w:rPr>
          <w:rFonts w:cstheme="minorHAnsi"/>
          <w:sz w:val="20"/>
          <w:szCs w:val="20"/>
        </w:rPr>
        <w:t xml:space="preserve"> que se debe reforzar en </w:t>
      </w:r>
      <w:r w:rsidR="00C0186E" w:rsidRPr="000A1B78">
        <w:rPr>
          <w:rFonts w:cstheme="minorHAnsi"/>
          <w:sz w:val="20"/>
          <w:szCs w:val="20"/>
        </w:rPr>
        <w:t>la asignatura</w:t>
      </w:r>
      <w:r w:rsidR="00EB1DD3" w:rsidRPr="000A1B78">
        <w:rPr>
          <w:rFonts w:cstheme="minorHAnsi"/>
          <w:sz w:val="20"/>
          <w:szCs w:val="20"/>
        </w:rPr>
        <w:t>s</w:t>
      </w:r>
      <w:r w:rsidR="00C0186E" w:rsidRPr="000A1B78">
        <w:rPr>
          <w:rFonts w:cstheme="minorHAnsi"/>
          <w:sz w:val="20"/>
          <w:szCs w:val="20"/>
        </w:rPr>
        <w:t xml:space="preserve"> relacionada</w:t>
      </w:r>
      <w:r w:rsidR="00EB1DD3" w:rsidRPr="000A1B78">
        <w:rPr>
          <w:rFonts w:cstheme="minorHAnsi"/>
          <w:sz w:val="20"/>
          <w:szCs w:val="20"/>
        </w:rPr>
        <w:t>s</w:t>
      </w:r>
      <w:r w:rsidRPr="000A1B78">
        <w:rPr>
          <w:rFonts w:cstheme="minorHAnsi"/>
          <w:sz w:val="20"/>
          <w:szCs w:val="20"/>
        </w:rPr>
        <w:t xml:space="preserve"> con el área de Matemáticas para un mejor aprendizaje académico en el programa</w:t>
      </w:r>
      <w:r w:rsidR="00EB1DD3" w:rsidRPr="000A1B78">
        <w:rPr>
          <w:rFonts w:cstheme="minorHAnsi"/>
          <w:sz w:val="20"/>
          <w:szCs w:val="20"/>
        </w:rPr>
        <w:t xml:space="preserve"> y disminuir el riesgo de pérdida y por lo tanto la</w:t>
      </w:r>
      <w:r w:rsidR="00552FE1">
        <w:rPr>
          <w:rFonts w:cstheme="minorHAnsi"/>
          <w:sz w:val="20"/>
          <w:szCs w:val="20"/>
        </w:rPr>
        <w:t xml:space="preserve"> posible</w:t>
      </w:r>
      <w:r w:rsidR="00EB1DD3" w:rsidRPr="000A1B78">
        <w:rPr>
          <w:rFonts w:cstheme="minorHAnsi"/>
          <w:sz w:val="20"/>
          <w:szCs w:val="20"/>
        </w:rPr>
        <w:t xml:space="preserve"> deserción</w:t>
      </w:r>
      <w:r w:rsidRPr="000A1B78">
        <w:rPr>
          <w:rFonts w:cstheme="minorHAnsi"/>
          <w:sz w:val="20"/>
          <w:szCs w:val="20"/>
        </w:rPr>
        <w:t>.</w:t>
      </w:r>
    </w:p>
    <w:p w:rsidR="00A93C1F" w:rsidRPr="000A1B78" w:rsidRDefault="0079484C" w:rsidP="00682ADF">
      <w:pPr>
        <w:jc w:val="both"/>
        <w:rPr>
          <w:rFonts w:cstheme="minorHAnsi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167E9BC9" wp14:editId="4418DDAA">
            <wp:extent cx="5657850" cy="2638425"/>
            <wp:effectExtent l="0" t="0" r="0" b="952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0285" w:rsidRPr="000A1B78" w:rsidRDefault="0079484C" w:rsidP="0025028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 el área de </w:t>
      </w:r>
      <w:r w:rsidR="00C45D6D">
        <w:rPr>
          <w:rFonts w:cstheme="minorHAnsi"/>
          <w:sz w:val="20"/>
          <w:szCs w:val="20"/>
        </w:rPr>
        <w:t>inglés</w:t>
      </w:r>
      <w:r w:rsidR="00250285" w:rsidRPr="000A1B78">
        <w:rPr>
          <w:rFonts w:cstheme="minorHAnsi"/>
          <w:sz w:val="20"/>
          <w:szCs w:val="20"/>
        </w:rPr>
        <w:t xml:space="preserve"> se observa que los programas de Medicina con</w:t>
      </w:r>
      <w:r w:rsidR="00C22D79" w:rsidRPr="000A1B78">
        <w:rPr>
          <w:rFonts w:cstheme="minorHAnsi"/>
          <w:sz w:val="20"/>
          <w:szCs w:val="20"/>
        </w:rPr>
        <w:t xml:space="preserve"> un promedio de</w:t>
      </w:r>
      <w:r>
        <w:rPr>
          <w:rFonts w:cstheme="minorHAnsi"/>
          <w:sz w:val="20"/>
          <w:szCs w:val="20"/>
        </w:rPr>
        <w:t xml:space="preserve"> 67,8</w:t>
      </w:r>
      <w:r w:rsidR="00C22D79" w:rsidRPr="000A1B78">
        <w:rPr>
          <w:rFonts w:cstheme="minorHAnsi"/>
          <w:sz w:val="20"/>
          <w:szCs w:val="20"/>
        </w:rPr>
        <w:t>,</w:t>
      </w:r>
      <w:r w:rsidR="00250285" w:rsidRPr="000A1B78">
        <w:rPr>
          <w:rFonts w:cstheme="minorHAnsi"/>
          <w:sz w:val="20"/>
          <w:szCs w:val="20"/>
        </w:rPr>
        <w:t xml:space="preserve"> </w:t>
      </w:r>
      <w:r w:rsidR="00C22D79" w:rsidRPr="000A1B78">
        <w:rPr>
          <w:rFonts w:cstheme="minorHAnsi"/>
          <w:sz w:val="20"/>
          <w:szCs w:val="20"/>
        </w:rPr>
        <w:t>Q</w:t>
      </w:r>
      <w:r>
        <w:rPr>
          <w:rFonts w:cstheme="minorHAnsi"/>
          <w:sz w:val="20"/>
          <w:szCs w:val="20"/>
        </w:rPr>
        <w:t>uímica Farmacéutica y Química 62,9 y Veterinaria con 60,3</w:t>
      </w:r>
      <w:r w:rsidR="00C22D79" w:rsidRPr="000A1B78">
        <w:rPr>
          <w:rFonts w:cstheme="minorHAnsi"/>
          <w:sz w:val="20"/>
          <w:szCs w:val="20"/>
        </w:rPr>
        <w:t xml:space="preserve"> en</w:t>
      </w:r>
      <w:r w:rsidR="00250285" w:rsidRPr="000A1B78">
        <w:rPr>
          <w:rFonts w:cstheme="minorHAnsi"/>
          <w:sz w:val="20"/>
          <w:szCs w:val="20"/>
        </w:rPr>
        <w:t xml:space="preserve"> el área de inglés</w:t>
      </w:r>
      <w:r w:rsidR="00C22D79" w:rsidRPr="000A1B78">
        <w:rPr>
          <w:rFonts w:cstheme="minorHAnsi"/>
          <w:sz w:val="20"/>
          <w:szCs w:val="20"/>
        </w:rPr>
        <w:t>;</w:t>
      </w:r>
      <w:r w:rsidR="00250285" w:rsidRPr="000A1B78">
        <w:rPr>
          <w:rFonts w:cstheme="minorHAnsi"/>
          <w:sz w:val="20"/>
          <w:szCs w:val="20"/>
        </w:rPr>
        <w:t xml:space="preserve"> </w:t>
      </w:r>
      <w:r w:rsidR="00C12D8E" w:rsidRPr="000A1B78">
        <w:rPr>
          <w:rFonts w:cstheme="minorHAnsi"/>
          <w:sz w:val="20"/>
          <w:szCs w:val="20"/>
        </w:rPr>
        <w:t>siendo el</w:t>
      </w:r>
      <w:r w:rsidR="00250285" w:rsidRPr="000A1B78">
        <w:rPr>
          <w:rFonts w:cstheme="minorHAnsi"/>
          <w:sz w:val="20"/>
          <w:szCs w:val="20"/>
        </w:rPr>
        <w:t xml:space="preserve"> programa de menor promedio </w:t>
      </w:r>
      <w:r>
        <w:rPr>
          <w:rFonts w:cstheme="minorHAnsi"/>
          <w:sz w:val="20"/>
          <w:szCs w:val="20"/>
        </w:rPr>
        <w:t>Derecho 46,3</w:t>
      </w:r>
      <w:r w:rsidR="00C22D79" w:rsidRPr="000A1B78">
        <w:rPr>
          <w:rFonts w:cstheme="minorHAnsi"/>
          <w:sz w:val="20"/>
          <w:szCs w:val="20"/>
        </w:rPr>
        <w:t xml:space="preserve"> </w:t>
      </w:r>
      <w:r w:rsidR="00C12D8E" w:rsidRPr="000A1B78">
        <w:rPr>
          <w:rFonts w:cstheme="minorHAnsi"/>
          <w:sz w:val="20"/>
          <w:szCs w:val="20"/>
        </w:rPr>
        <w:t>y</w:t>
      </w:r>
      <w:r w:rsidR="00250285" w:rsidRPr="000A1B78">
        <w:rPr>
          <w:rFonts w:cstheme="minorHAnsi"/>
          <w:sz w:val="20"/>
          <w:szCs w:val="20"/>
        </w:rPr>
        <w:t xml:space="preserve"> </w:t>
      </w:r>
      <w:r w:rsidR="00C22D79" w:rsidRPr="000A1B78">
        <w:rPr>
          <w:rFonts w:cstheme="minorHAnsi"/>
          <w:sz w:val="20"/>
          <w:szCs w:val="20"/>
        </w:rPr>
        <w:t>Técnico en Entrenamiento Deportivo con</w:t>
      </w:r>
      <w:r w:rsidR="00250285" w:rsidRPr="000A1B78">
        <w:rPr>
          <w:rFonts w:cstheme="minorHAnsi"/>
          <w:sz w:val="20"/>
          <w:szCs w:val="20"/>
        </w:rPr>
        <w:t xml:space="preserve"> 4</w:t>
      </w:r>
      <w:r>
        <w:rPr>
          <w:rFonts w:cstheme="minorHAnsi"/>
          <w:sz w:val="20"/>
          <w:szCs w:val="20"/>
        </w:rPr>
        <w:t>7,3</w:t>
      </w:r>
      <w:r w:rsidR="00C22D79" w:rsidRPr="000A1B78">
        <w:rPr>
          <w:rFonts w:cstheme="minorHAnsi"/>
          <w:sz w:val="20"/>
          <w:szCs w:val="20"/>
        </w:rPr>
        <w:t xml:space="preserve">; por lo anterior se recomienda motivar a los estudiantes al aprendizaje de la segunda </w:t>
      </w:r>
      <w:r w:rsidR="000A1B78" w:rsidRPr="000A1B78">
        <w:rPr>
          <w:rFonts w:cstheme="minorHAnsi"/>
          <w:sz w:val="20"/>
          <w:szCs w:val="20"/>
        </w:rPr>
        <w:t>lengua utilizando</w:t>
      </w:r>
      <w:r w:rsidR="00C22D79" w:rsidRPr="000A1B78">
        <w:rPr>
          <w:rFonts w:cstheme="minorHAnsi"/>
          <w:sz w:val="20"/>
          <w:szCs w:val="20"/>
        </w:rPr>
        <w:t xml:space="preserve"> los medios que brinda la universidad a nivel virtual y </w:t>
      </w:r>
      <w:r w:rsidR="000A1B78" w:rsidRPr="000A1B78">
        <w:rPr>
          <w:rFonts w:cstheme="minorHAnsi"/>
          <w:sz w:val="20"/>
          <w:szCs w:val="20"/>
        </w:rPr>
        <w:t>presencial para</w:t>
      </w:r>
      <w:r w:rsidR="00250285" w:rsidRPr="000A1B78">
        <w:rPr>
          <w:rFonts w:cstheme="minorHAnsi"/>
          <w:sz w:val="20"/>
          <w:szCs w:val="20"/>
        </w:rPr>
        <w:t xml:space="preserve"> un adecuado proceso del aprendizaje en la segunda lengua.</w:t>
      </w:r>
    </w:p>
    <w:p w:rsidR="009C367B" w:rsidRPr="000A1B78" w:rsidRDefault="009C367B" w:rsidP="009C367B">
      <w:pPr>
        <w:pStyle w:val="Prrafodelista"/>
        <w:numPr>
          <w:ilvl w:val="0"/>
          <w:numId w:val="2"/>
        </w:numPr>
        <w:jc w:val="center"/>
        <w:rPr>
          <w:rFonts w:cstheme="minorHAnsi"/>
          <w:b/>
          <w:sz w:val="20"/>
          <w:szCs w:val="20"/>
        </w:rPr>
      </w:pPr>
      <w:r w:rsidRPr="000A1B78">
        <w:rPr>
          <w:rFonts w:cstheme="minorHAnsi"/>
          <w:b/>
          <w:sz w:val="20"/>
          <w:szCs w:val="20"/>
        </w:rPr>
        <w:t>RESULTADOS POR PROGRAMA Y ÁREA DEL CONOCIMIENTO</w:t>
      </w:r>
    </w:p>
    <w:p w:rsidR="009C367B" w:rsidRPr="000A1B78" w:rsidRDefault="00CE726B" w:rsidP="00A2517F">
      <w:pPr>
        <w:rPr>
          <w:rFonts w:cstheme="minorHAnsi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1B8D3D31" wp14:editId="6A1AB5AA">
            <wp:extent cx="5941060" cy="2524125"/>
            <wp:effectExtent l="0" t="0" r="254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919F4" w:rsidRPr="000A1B78" w:rsidRDefault="00D919F4" w:rsidP="00D919F4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Se percibe en los resultados que el grupo de Veterinaria obtuvo un mejor promedio en el área de </w:t>
      </w:r>
      <w:r w:rsidR="00C12D8E" w:rsidRPr="000A1B78">
        <w:rPr>
          <w:rFonts w:cstheme="minorHAnsi"/>
          <w:sz w:val="20"/>
          <w:szCs w:val="20"/>
        </w:rPr>
        <w:t>inglés</w:t>
      </w:r>
      <w:r w:rsidR="00300726">
        <w:rPr>
          <w:rFonts w:cstheme="minorHAnsi"/>
          <w:sz w:val="20"/>
          <w:szCs w:val="20"/>
        </w:rPr>
        <w:t xml:space="preserve"> con 60,3</w:t>
      </w:r>
      <w:r w:rsidRPr="000A1B78">
        <w:rPr>
          <w:rFonts w:cstheme="minorHAnsi"/>
          <w:sz w:val="20"/>
          <w:szCs w:val="20"/>
        </w:rPr>
        <w:t xml:space="preserve"> y </w:t>
      </w:r>
      <w:r w:rsidR="00300726">
        <w:rPr>
          <w:rFonts w:cstheme="minorHAnsi"/>
          <w:sz w:val="20"/>
          <w:szCs w:val="20"/>
        </w:rPr>
        <w:t>lectura crítica 56,2</w:t>
      </w:r>
      <w:r w:rsidR="004420AF" w:rsidRPr="000A1B78">
        <w:rPr>
          <w:rFonts w:cstheme="minorHAnsi"/>
          <w:sz w:val="20"/>
          <w:szCs w:val="20"/>
        </w:rPr>
        <w:t xml:space="preserve"> </w:t>
      </w:r>
      <w:r w:rsidRPr="000A1B78">
        <w:rPr>
          <w:rFonts w:cstheme="minorHAnsi"/>
          <w:sz w:val="20"/>
          <w:szCs w:val="20"/>
        </w:rPr>
        <w:t xml:space="preserve"> lo cual representa una fortaleza en el desempeño académico y proceso de profesionalización sin </w:t>
      </w:r>
      <w:r w:rsidR="008A57E0" w:rsidRPr="000A1B78">
        <w:rPr>
          <w:rFonts w:cstheme="minorHAnsi"/>
          <w:sz w:val="20"/>
          <w:szCs w:val="20"/>
        </w:rPr>
        <w:t>embargo,</w:t>
      </w:r>
      <w:r w:rsidRPr="000A1B78">
        <w:rPr>
          <w:rFonts w:cstheme="minorHAnsi"/>
          <w:sz w:val="20"/>
          <w:szCs w:val="20"/>
        </w:rPr>
        <w:t xml:space="preserve"> el área de </w:t>
      </w:r>
      <w:r w:rsidR="004420AF" w:rsidRPr="000A1B78">
        <w:rPr>
          <w:rFonts w:cstheme="minorHAnsi"/>
          <w:sz w:val="20"/>
          <w:szCs w:val="20"/>
        </w:rPr>
        <w:t xml:space="preserve">ciencias naturales </w:t>
      </w:r>
      <w:r w:rsidRPr="000A1B78">
        <w:rPr>
          <w:rFonts w:cstheme="minorHAnsi"/>
          <w:sz w:val="20"/>
          <w:szCs w:val="20"/>
        </w:rPr>
        <w:t>es el promedio más bajo con 5</w:t>
      </w:r>
      <w:r w:rsidR="00300726">
        <w:rPr>
          <w:rFonts w:cstheme="minorHAnsi"/>
          <w:sz w:val="20"/>
          <w:szCs w:val="20"/>
        </w:rPr>
        <w:t>5</w:t>
      </w:r>
      <w:r w:rsidR="004420AF" w:rsidRPr="000A1B78">
        <w:rPr>
          <w:rFonts w:cstheme="minorHAnsi"/>
          <w:sz w:val="20"/>
          <w:szCs w:val="20"/>
        </w:rPr>
        <w:t>,2</w:t>
      </w:r>
      <w:r w:rsidRPr="000A1B78">
        <w:rPr>
          <w:rFonts w:cstheme="minorHAnsi"/>
          <w:sz w:val="20"/>
          <w:szCs w:val="20"/>
        </w:rPr>
        <w:t xml:space="preserve"> aspecto que se debe reforzar en las diferentes asignaturas con el fin de lograr una mayor comprensión en todo lo relacionado con el pensamiento lógico, se recomienda hacer tutorías grupales</w:t>
      </w:r>
      <w:r w:rsidR="004420AF" w:rsidRPr="000A1B78">
        <w:rPr>
          <w:rFonts w:cstheme="minorHAnsi"/>
          <w:sz w:val="20"/>
          <w:szCs w:val="20"/>
        </w:rPr>
        <w:t xml:space="preserve"> o realizar un curso base que brinde mayores competencias en esta área del conocimiento</w:t>
      </w:r>
      <w:r w:rsidRPr="000A1B78">
        <w:rPr>
          <w:rFonts w:cstheme="minorHAnsi"/>
          <w:sz w:val="20"/>
          <w:szCs w:val="20"/>
        </w:rPr>
        <w:t>.</w:t>
      </w:r>
    </w:p>
    <w:p w:rsidR="00BD78BB" w:rsidRPr="000A1B78" w:rsidRDefault="00F6546C" w:rsidP="00D919F4">
      <w:pPr>
        <w:jc w:val="both"/>
        <w:rPr>
          <w:rFonts w:cstheme="minorHAnsi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465EA464" wp14:editId="12005DAA">
            <wp:extent cx="588645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57147" w:rsidRPr="000A1B78" w:rsidRDefault="00E57147" w:rsidP="00E57147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Se observa en los resultados que el mayor promedio obtenido por </w:t>
      </w:r>
      <w:r w:rsidR="00B74F60">
        <w:rPr>
          <w:rFonts w:cstheme="minorHAnsi"/>
          <w:sz w:val="20"/>
          <w:szCs w:val="20"/>
        </w:rPr>
        <w:t>el programa de Zootecnia fue competencias ciudadanas</w:t>
      </w:r>
      <w:r w:rsidR="004420AF" w:rsidRPr="000A1B78">
        <w:rPr>
          <w:rFonts w:cstheme="minorHAnsi"/>
          <w:sz w:val="20"/>
          <w:szCs w:val="20"/>
        </w:rPr>
        <w:t xml:space="preserve"> </w:t>
      </w:r>
      <w:r w:rsidRPr="000A1B78">
        <w:rPr>
          <w:rFonts w:cstheme="minorHAnsi"/>
          <w:sz w:val="20"/>
          <w:szCs w:val="20"/>
        </w:rPr>
        <w:t xml:space="preserve">con </w:t>
      </w:r>
      <w:r w:rsidR="00B74F60">
        <w:rPr>
          <w:rFonts w:cstheme="minorHAnsi"/>
          <w:sz w:val="20"/>
          <w:szCs w:val="20"/>
        </w:rPr>
        <w:t>53,2</w:t>
      </w:r>
      <w:r w:rsidRPr="000A1B78">
        <w:rPr>
          <w:rFonts w:cstheme="minorHAnsi"/>
          <w:sz w:val="20"/>
          <w:szCs w:val="20"/>
        </w:rPr>
        <w:t xml:space="preserve"> aspecto que resulta una fortaleza en lo relac</w:t>
      </w:r>
      <w:r w:rsidR="00B74F60">
        <w:rPr>
          <w:rFonts w:cstheme="minorHAnsi"/>
          <w:sz w:val="20"/>
          <w:szCs w:val="20"/>
        </w:rPr>
        <w:t>ionado con el pensamiento semántico</w:t>
      </w:r>
      <w:r w:rsidRPr="000A1B78">
        <w:rPr>
          <w:rFonts w:cstheme="minorHAnsi"/>
          <w:sz w:val="20"/>
          <w:szCs w:val="20"/>
        </w:rPr>
        <w:t xml:space="preserve">, sin </w:t>
      </w:r>
      <w:r w:rsidR="00427ABA" w:rsidRPr="000A1B78">
        <w:rPr>
          <w:rFonts w:cstheme="minorHAnsi"/>
          <w:sz w:val="20"/>
          <w:szCs w:val="20"/>
        </w:rPr>
        <w:t>embargo,</w:t>
      </w:r>
      <w:r w:rsidRPr="000A1B78">
        <w:rPr>
          <w:rFonts w:cstheme="minorHAnsi"/>
          <w:sz w:val="20"/>
          <w:szCs w:val="20"/>
        </w:rPr>
        <w:t xml:space="preserve"> en </w:t>
      </w:r>
      <w:r w:rsidR="00B74F60">
        <w:rPr>
          <w:rFonts w:cstheme="minorHAnsi"/>
          <w:sz w:val="20"/>
          <w:szCs w:val="20"/>
        </w:rPr>
        <w:t>matemáticas</w:t>
      </w:r>
      <w:r w:rsidR="004420AF" w:rsidRPr="000A1B78">
        <w:rPr>
          <w:rFonts w:cstheme="minorHAnsi"/>
          <w:sz w:val="20"/>
          <w:szCs w:val="20"/>
        </w:rPr>
        <w:t xml:space="preserve"> </w:t>
      </w:r>
      <w:r w:rsidR="00A948A4" w:rsidRPr="000A1B78">
        <w:rPr>
          <w:rFonts w:cstheme="minorHAnsi"/>
          <w:sz w:val="20"/>
          <w:szCs w:val="20"/>
        </w:rPr>
        <w:t>obtuvo</w:t>
      </w:r>
      <w:r w:rsidRPr="000A1B78">
        <w:rPr>
          <w:rFonts w:cstheme="minorHAnsi"/>
          <w:sz w:val="20"/>
          <w:szCs w:val="20"/>
        </w:rPr>
        <w:t xml:space="preserve"> el promedio más bajo con</w:t>
      </w:r>
      <w:r w:rsidR="00B74F60">
        <w:rPr>
          <w:rFonts w:cstheme="minorHAnsi"/>
          <w:sz w:val="20"/>
          <w:szCs w:val="20"/>
        </w:rPr>
        <w:t xml:space="preserve"> 50</w:t>
      </w:r>
      <w:r w:rsidR="0009516D" w:rsidRPr="000A1B78">
        <w:rPr>
          <w:rFonts w:cstheme="minorHAnsi"/>
          <w:sz w:val="20"/>
          <w:szCs w:val="20"/>
        </w:rPr>
        <w:t>,</w:t>
      </w:r>
      <w:r w:rsidR="00B74F60">
        <w:rPr>
          <w:rFonts w:cstheme="minorHAnsi"/>
          <w:sz w:val="20"/>
          <w:szCs w:val="20"/>
        </w:rPr>
        <w:t>4</w:t>
      </w:r>
      <w:r w:rsidRPr="000A1B78">
        <w:rPr>
          <w:rFonts w:cstheme="minorHAnsi"/>
          <w:sz w:val="20"/>
          <w:szCs w:val="20"/>
        </w:rPr>
        <w:t xml:space="preserve">, razón por la que se sugiere hacer seguimiento y reforzar el tema en las asignaturas relacionadas. </w:t>
      </w:r>
    </w:p>
    <w:p w:rsidR="00A2517F" w:rsidRPr="000A1B78" w:rsidRDefault="00A2517F" w:rsidP="008D5E0C">
      <w:pPr>
        <w:rPr>
          <w:rFonts w:cstheme="minorHAnsi"/>
          <w:sz w:val="20"/>
          <w:szCs w:val="20"/>
        </w:rPr>
      </w:pPr>
    </w:p>
    <w:p w:rsidR="00A2517F" w:rsidRPr="000A1B78" w:rsidRDefault="00F6546C" w:rsidP="009C367B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4D11D1D6" wp14:editId="195E5765">
            <wp:extent cx="5934075" cy="2743200"/>
            <wp:effectExtent l="0" t="0" r="9525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B1AEC" w:rsidRPr="000A1B78" w:rsidRDefault="00C6196B" w:rsidP="009B1AEC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>De acuerdo con los resultados en el program</w:t>
      </w:r>
      <w:r w:rsidR="006B7221" w:rsidRPr="000A1B78">
        <w:rPr>
          <w:rFonts w:cstheme="minorHAnsi"/>
          <w:sz w:val="20"/>
          <w:szCs w:val="20"/>
        </w:rPr>
        <w:t xml:space="preserve">a de M.V.Z. se evidencia que en </w:t>
      </w:r>
      <w:r w:rsidRPr="000A1B78">
        <w:rPr>
          <w:rFonts w:cstheme="minorHAnsi"/>
          <w:sz w:val="20"/>
          <w:szCs w:val="20"/>
        </w:rPr>
        <w:t xml:space="preserve">promedio </w:t>
      </w:r>
      <w:r w:rsidR="006B7221" w:rsidRPr="000A1B78">
        <w:rPr>
          <w:rFonts w:cstheme="minorHAnsi"/>
          <w:sz w:val="20"/>
          <w:szCs w:val="20"/>
        </w:rPr>
        <w:t xml:space="preserve">las áreas </w:t>
      </w:r>
      <w:r w:rsidR="00427ABA" w:rsidRPr="000A1B78">
        <w:rPr>
          <w:rFonts w:cstheme="minorHAnsi"/>
          <w:sz w:val="20"/>
          <w:szCs w:val="20"/>
        </w:rPr>
        <w:t xml:space="preserve">de </w:t>
      </w:r>
      <w:r w:rsidR="00293E24">
        <w:rPr>
          <w:rFonts w:cstheme="minorHAnsi"/>
          <w:sz w:val="20"/>
          <w:szCs w:val="20"/>
        </w:rPr>
        <w:t>inglés</w:t>
      </w:r>
      <w:r w:rsidR="001E6972">
        <w:rPr>
          <w:rFonts w:cstheme="minorHAnsi"/>
          <w:sz w:val="20"/>
          <w:szCs w:val="20"/>
        </w:rPr>
        <w:t xml:space="preserve"> 60,3</w:t>
      </w:r>
      <w:r w:rsidR="00905B3F" w:rsidRPr="000A1B78">
        <w:rPr>
          <w:rFonts w:cstheme="minorHAnsi"/>
          <w:sz w:val="20"/>
          <w:szCs w:val="20"/>
        </w:rPr>
        <w:t xml:space="preserve"> y</w:t>
      </w:r>
      <w:r w:rsidR="006B7221" w:rsidRPr="000A1B78">
        <w:rPr>
          <w:rFonts w:cstheme="minorHAnsi"/>
          <w:sz w:val="20"/>
          <w:szCs w:val="20"/>
        </w:rPr>
        <w:t xml:space="preserve"> </w:t>
      </w:r>
      <w:r w:rsidR="001E6972">
        <w:rPr>
          <w:rFonts w:cstheme="minorHAnsi"/>
          <w:sz w:val="20"/>
          <w:szCs w:val="20"/>
        </w:rPr>
        <w:t>matemáticas 55</w:t>
      </w:r>
      <w:r w:rsidR="00905B3F" w:rsidRPr="000A1B78">
        <w:rPr>
          <w:rFonts w:cstheme="minorHAnsi"/>
          <w:sz w:val="20"/>
          <w:szCs w:val="20"/>
        </w:rPr>
        <w:t>,4</w:t>
      </w:r>
      <w:r w:rsidR="00427ABA" w:rsidRPr="000A1B78">
        <w:rPr>
          <w:rFonts w:cstheme="minorHAnsi"/>
          <w:sz w:val="20"/>
          <w:szCs w:val="20"/>
        </w:rPr>
        <w:t xml:space="preserve"> </w:t>
      </w:r>
      <w:r w:rsidRPr="000A1B78">
        <w:rPr>
          <w:rFonts w:cstheme="minorHAnsi"/>
          <w:sz w:val="20"/>
          <w:szCs w:val="20"/>
        </w:rPr>
        <w:t xml:space="preserve">representan una fortaleza en el desempeño académico, sin </w:t>
      </w:r>
      <w:r w:rsidR="00FA71DD" w:rsidRPr="000A1B78">
        <w:rPr>
          <w:rFonts w:cstheme="minorHAnsi"/>
          <w:sz w:val="20"/>
          <w:szCs w:val="20"/>
        </w:rPr>
        <w:t>embargo,</w:t>
      </w:r>
      <w:r w:rsidR="001E6972">
        <w:rPr>
          <w:rFonts w:cstheme="minorHAnsi"/>
          <w:sz w:val="20"/>
          <w:szCs w:val="20"/>
        </w:rPr>
        <w:t xml:space="preserve"> en el área de competencias ciudadanas</w:t>
      </w:r>
      <w:r w:rsidRPr="000A1B78">
        <w:rPr>
          <w:rFonts w:cstheme="minorHAnsi"/>
          <w:sz w:val="20"/>
          <w:szCs w:val="20"/>
        </w:rPr>
        <w:t xml:space="preserve"> obtuvieron </w:t>
      </w:r>
      <w:r w:rsidR="00FA71DD" w:rsidRPr="000A1B78">
        <w:rPr>
          <w:rFonts w:cstheme="minorHAnsi"/>
          <w:sz w:val="20"/>
          <w:szCs w:val="20"/>
        </w:rPr>
        <w:t xml:space="preserve">un </w:t>
      </w:r>
      <w:r w:rsidRPr="000A1B78">
        <w:rPr>
          <w:rFonts w:cstheme="minorHAnsi"/>
          <w:sz w:val="20"/>
          <w:szCs w:val="20"/>
        </w:rPr>
        <w:t xml:space="preserve">promedio </w:t>
      </w:r>
      <w:r w:rsidR="00FA71DD" w:rsidRPr="000A1B78">
        <w:rPr>
          <w:rFonts w:cstheme="minorHAnsi"/>
          <w:sz w:val="20"/>
          <w:szCs w:val="20"/>
        </w:rPr>
        <w:t xml:space="preserve">inferior </w:t>
      </w:r>
      <w:r w:rsidR="009B1AEC" w:rsidRPr="000A1B78">
        <w:rPr>
          <w:rFonts w:cstheme="minorHAnsi"/>
          <w:sz w:val="20"/>
          <w:szCs w:val="20"/>
        </w:rPr>
        <w:t>con 5</w:t>
      </w:r>
      <w:r w:rsidR="001E6972">
        <w:rPr>
          <w:rFonts w:cstheme="minorHAnsi"/>
          <w:sz w:val="20"/>
          <w:szCs w:val="20"/>
        </w:rPr>
        <w:t>3</w:t>
      </w:r>
      <w:r w:rsidR="009B1AEC" w:rsidRPr="000A1B78">
        <w:rPr>
          <w:rFonts w:cstheme="minorHAnsi"/>
          <w:sz w:val="20"/>
          <w:szCs w:val="20"/>
        </w:rPr>
        <w:t>,</w:t>
      </w:r>
      <w:r w:rsidR="001E6972">
        <w:rPr>
          <w:rFonts w:cstheme="minorHAnsi"/>
          <w:sz w:val="20"/>
          <w:szCs w:val="20"/>
        </w:rPr>
        <w:t>7</w:t>
      </w:r>
      <w:r w:rsidRPr="000A1B78">
        <w:rPr>
          <w:rFonts w:cstheme="minorHAnsi"/>
          <w:sz w:val="20"/>
          <w:szCs w:val="20"/>
        </w:rPr>
        <w:t xml:space="preserve"> </w:t>
      </w:r>
      <w:r w:rsidR="009B1AEC" w:rsidRPr="000A1B78">
        <w:rPr>
          <w:rFonts w:cstheme="minorHAnsi"/>
          <w:sz w:val="20"/>
          <w:szCs w:val="20"/>
        </w:rPr>
        <w:t xml:space="preserve">razón por la que se recomienda a los docentes motivar a los estudiantes en las diferentes asignaturas </w:t>
      </w:r>
      <w:r w:rsidR="00905B3F" w:rsidRPr="000A1B78">
        <w:rPr>
          <w:rFonts w:cstheme="minorHAnsi"/>
          <w:sz w:val="20"/>
          <w:szCs w:val="20"/>
        </w:rPr>
        <w:t>el</w:t>
      </w:r>
      <w:r w:rsidR="009B1AEC" w:rsidRPr="000A1B78">
        <w:rPr>
          <w:rFonts w:cstheme="minorHAnsi"/>
          <w:sz w:val="20"/>
          <w:szCs w:val="20"/>
        </w:rPr>
        <w:t xml:space="preserve"> reforzar la lectura, argumentación y </w:t>
      </w:r>
      <w:r w:rsidR="00176AA7" w:rsidRPr="000A1B78">
        <w:rPr>
          <w:rFonts w:cstheme="minorHAnsi"/>
          <w:sz w:val="20"/>
          <w:szCs w:val="20"/>
        </w:rPr>
        <w:t>comunicación escrita</w:t>
      </w:r>
      <w:r w:rsidR="009B1AEC" w:rsidRPr="000A1B78">
        <w:rPr>
          <w:rFonts w:cstheme="minorHAnsi"/>
          <w:sz w:val="20"/>
          <w:szCs w:val="20"/>
        </w:rPr>
        <w:t xml:space="preserve"> y verbal.</w:t>
      </w:r>
    </w:p>
    <w:p w:rsidR="00A2517F" w:rsidRPr="000A1B78" w:rsidRDefault="00A2517F" w:rsidP="009C367B">
      <w:pPr>
        <w:jc w:val="center"/>
        <w:rPr>
          <w:rFonts w:cstheme="minorHAnsi"/>
          <w:sz w:val="20"/>
          <w:szCs w:val="20"/>
        </w:rPr>
      </w:pPr>
    </w:p>
    <w:p w:rsidR="00A2517F" w:rsidRPr="000A1B78" w:rsidRDefault="00F6546C" w:rsidP="009C367B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45D3C0AC" wp14:editId="1E5005E4">
            <wp:extent cx="588645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C2D7F" w:rsidRDefault="00BC2D7F" w:rsidP="00BC2D7F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En la gráfica se evidencia que </w:t>
      </w:r>
      <w:r w:rsidR="00176AA7" w:rsidRPr="000A1B78">
        <w:rPr>
          <w:rFonts w:cstheme="minorHAnsi"/>
          <w:sz w:val="20"/>
          <w:szCs w:val="20"/>
        </w:rPr>
        <w:t>el promedio</w:t>
      </w:r>
      <w:r w:rsidRPr="000A1B78">
        <w:rPr>
          <w:rFonts w:cstheme="minorHAnsi"/>
          <w:sz w:val="20"/>
          <w:szCs w:val="20"/>
        </w:rPr>
        <w:t xml:space="preserve"> más alto en el programa de M.V.Z. Cartagena </w:t>
      </w:r>
      <w:r w:rsidR="00C008A4">
        <w:rPr>
          <w:rFonts w:cstheme="minorHAnsi"/>
          <w:sz w:val="20"/>
          <w:szCs w:val="20"/>
        </w:rPr>
        <w:t>se obtuvo en ciencias naturales con 48,6 y lectura crítica con 48,4</w:t>
      </w:r>
      <w:r w:rsidR="00FA71DD" w:rsidRPr="000A1B78">
        <w:rPr>
          <w:rFonts w:cstheme="minorHAnsi"/>
          <w:sz w:val="20"/>
          <w:szCs w:val="20"/>
        </w:rPr>
        <w:t xml:space="preserve"> aspectos</w:t>
      </w:r>
      <w:r w:rsidRPr="000A1B78">
        <w:rPr>
          <w:rFonts w:cstheme="minorHAnsi"/>
          <w:sz w:val="20"/>
          <w:szCs w:val="20"/>
        </w:rPr>
        <w:t xml:space="preserve"> que representan una fortaleza a nivel académico, sin </w:t>
      </w:r>
      <w:r w:rsidR="00D50C3E" w:rsidRPr="000A1B78">
        <w:rPr>
          <w:rFonts w:cstheme="minorHAnsi"/>
          <w:sz w:val="20"/>
          <w:szCs w:val="20"/>
        </w:rPr>
        <w:t>embargo,</w:t>
      </w:r>
      <w:r w:rsidRPr="000A1B78">
        <w:rPr>
          <w:rFonts w:cstheme="minorHAnsi"/>
          <w:sz w:val="20"/>
          <w:szCs w:val="20"/>
        </w:rPr>
        <w:t xml:space="preserve"> se observa que en el área de </w:t>
      </w:r>
      <w:r w:rsidR="00FA71DD" w:rsidRPr="000A1B78">
        <w:rPr>
          <w:rFonts w:cstheme="minorHAnsi"/>
          <w:sz w:val="20"/>
          <w:szCs w:val="20"/>
        </w:rPr>
        <w:t xml:space="preserve">competencias ciudadanas </w:t>
      </w:r>
      <w:r w:rsidRPr="000A1B78">
        <w:rPr>
          <w:rFonts w:cstheme="minorHAnsi"/>
          <w:sz w:val="20"/>
          <w:szCs w:val="20"/>
        </w:rPr>
        <w:t>la puntuación obtenida es de</w:t>
      </w:r>
      <w:r w:rsidR="00D50C3E" w:rsidRPr="000A1B78">
        <w:rPr>
          <w:rFonts w:cstheme="minorHAnsi"/>
          <w:sz w:val="20"/>
          <w:szCs w:val="20"/>
        </w:rPr>
        <w:t xml:space="preserve"> 4</w:t>
      </w:r>
      <w:r w:rsidR="00FA71DD" w:rsidRPr="000A1B78">
        <w:rPr>
          <w:rFonts w:cstheme="minorHAnsi"/>
          <w:sz w:val="20"/>
          <w:szCs w:val="20"/>
        </w:rPr>
        <w:t>2</w:t>
      </w:r>
      <w:r w:rsidRPr="000A1B78">
        <w:rPr>
          <w:rFonts w:cstheme="minorHAnsi"/>
          <w:sz w:val="20"/>
          <w:szCs w:val="20"/>
        </w:rPr>
        <w:t>,</w:t>
      </w:r>
      <w:r w:rsidR="00C008A4">
        <w:rPr>
          <w:rFonts w:cstheme="minorHAnsi"/>
          <w:sz w:val="20"/>
          <w:szCs w:val="20"/>
        </w:rPr>
        <w:t>1</w:t>
      </w:r>
      <w:r w:rsidRPr="000A1B78">
        <w:rPr>
          <w:rFonts w:cstheme="minorHAnsi"/>
          <w:sz w:val="20"/>
          <w:szCs w:val="20"/>
        </w:rPr>
        <w:t xml:space="preserve"> es baja con respecto a las otras, razón por la que se sugiere hacer seguimiento y refuerzo con tutorías grupales.</w:t>
      </w:r>
    </w:p>
    <w:p w:rsidR="004C00BE" w:rsidRPr="000A1B78" w:rsidRDefault="004C00BE" w:rsidP="00BC2D7F">
      <w:pPr>
        <w:jc w:val="both"/>
        <w:rPr>
          <w:rFonts w:cstheme="minorHAnsi"/>
          <w:sz w:val="20"/>
          <w:szCs w:val="20"/>
        </w:rPr>
      </w:pPr>
    </w:p>
    <w:p w:rsidR="00A2517F" w:rsidRPr="000A1B78" w:rsidRDefault="00F6546C" w:rsidP="009C367B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608B2BE4" wp14:editId="1DE47899">
            <wp:extent cx="5633720" cy="2762250"/>
            <wp:effectExtent l="0" t="0" r="508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2517F" w:rsidRPr="000A1B78" w:rsidRDefault="00A2517F" w:rsidP="009C367B">
      <w:pPr>
        <w:jc w:val="center"/>
        <w:rPr>
          <w:rFonts w:cstheme="minorHAnsi"/>
          <w:sz w:val="20"/>
          <w:szCs w:val="20"/>
        </w:rPr>
      </w:pPr>
    </w:p>
    <w:p w:rsidR="00862422" w:rsidRPr="000A1B78" w:rsidRDefault="00862422" w:rsidP="00862422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En el programa </w:t>
      </w:r>
      <w:r w:rsidR="00880C18" w:rsidRPr="000A1B78">
        <w:rPr>
          <w:rFonts w:cstheme="minorHAnsi"/>
          <w:sz w:val="20"/>
          <w:szCs w:val="20"/>
        </w:rPr>
        <w:t>de Química</w:t>
      </w:r>
      <w:r w:rsidRPr="000A1B78">
        <w:rPr>
          <w:rFonts w:cstheme="minorHAnsi"/>
          <w:sz w:val="20"/>
          <w:szCs w:val="20"/>
        </w:rPr>
        <w:t xml:space="preserve"> </w:t>
      </w:r>
      <w:r w:rsidR="00880C18" w:rsidRPr="000A1B78">
        <w:rPr>
          <w:rFonts w:cstheme="minorHAnsi"/>
          <w:sz w:val="20"/>
          <w:szCs w:val="20"/>
        </w:rPr>
        <w:t>Farmacéutica se</w:t>
      </w:r>
      <w:r w:rsidRPr="000A1B78">
        <w:rPr>
          <w:rFonts w:cstheme="minorHAnsi"/>
          <w:sz w:val="20"/>
          <w:szCs w:val="20"/>
        </w:rPr>
        <w:t xml:space="preserve"> observa que el mayor promedio obtenido es en el área </w:t>
      </w:r>
      <w:r w:rsidR="00880C18" w:rsidRPr="000A1B78">
        <w:rPr>
          <w:rFonts w:cstheme="minorHAnsi"/>
          <w:sz w:val="20"/>
          <w:szCs w:val="20"/>
        </w:rPr>
        <w:t xml:space="preserve">de </w:t>
      </w:r>
      <w:r w:rsidR="00FA71DD" w:rsidRPr="000A1B78">
        <w:rPr>
          <w:rFonts w:cstheme="minorHAnsi"/>
          <w:sz w:val="20"/>
          <w:szCs w:val="20"/>
        </w:rPr>
        <w:t xml:space="preserve">inglés </w:t>
      </w:r>
      <w:r w:rsidRPr="000A1B78">
        <w:rPr>
          <w:rFonts w:cstheme="minorHAnsi"/>
          <w:sz w:val="20"/>
          <w:szCs w:val="20"/>
        </w:rPr>
        <w:t>con</w:t>
      </w:r>
      <w:r w:rsidR="00F56091">
        <w:rPr>
          <w:rFonts w:cstheme="minorHAnsi"/>
          <w:sz w:val="20"/>
          <w:szCs w:val="20"/>
        </w:rPr>
        <w:t xml:space="preserve"> 62,9 y matemáticas con 62,5</w:t>
      </w:r>
      <w:r w:rsidRPr="000A1B78">
        <w:rPr>
          <w:rFonts w:cstheme="minorHAnsi"/>
          <w:sz w:val="20"/>
          <w:szCs w:val="20"/>
        </w:rPr>
        <w:t xml:space="preserve"> aspecto que resulta una fortaleza en el desempeño académico, sin </w:t>
      </w:r>
      <w:r w:rsidR="00880C18" w:rsidRPr="000A1B78">
        <w:rPr>
          <w:rFonts w:cstheme="minorHAnsi"/>
          <w:sz w:val="20"/>
          <w:szCs w:val="20"/>
        </w:rPr>
        <w:t>embargo,</w:t>
      </w:r>
      <w:r w:rsidRPr="000A1B78">
        <w:rPr>
          <w:rFonts w:cstheme="minorHAnsi"/>
          <w:sz w:val="20"/>
          <w:szCs w:val="20"/>
        </w:rPr>
        <w:t xml:space="preserve"> en el área de</w:t>
      </w:r>
      <w:r w:rsidR="00C806DF" w:rsidRPr="000A1B78">
        <w:rPr>
          <w:rFonts w:cstheme="minorHAnsi"/>
          <w:sz w:val="20"/>
          <w:szCs w:val="20"/>
        </w:rPr>
        <w:t xml:space="preserve"> </w:t>
      </w:r>
      <w:r w:rsidR="00F56091">
        <w:rPr>
          <w:rFonts w:cstheme="minorHAnsi"/>
          <w:sz w:val="20"/>
          <w:szCs w:val="20"/>
        </w:rPr>
        <w:t>competencias ciudadanas</w:t>
      </w:r>
      <w:r w:rsidR="00C806DF" w:rsidRPr="000A1B78">
        <w:rPr>
          <w:rFonts w:cstheme="minorHAnsi"/>
          <w:sz w:val="20"/>
          <w:szCs w:val="20"/>
        </w:rPr>
        <w:t xml:space="preserve"> </w:t>
      </w:r>
      <w:r w:rsidRPr="000A1B78">
        <w:rPr>
          <w:rFonts w:cstheme="minorHAnsi"/>
          <w:sz w:val="20"/>
          <w:szCs w:val="20"/>
        </w:rPr>
        <w:t xml:space="preserve">se obtuvo el menor promedio con </w:t>
      </w:r>
      <w:r w:rsidR="00C806DF" w:rsidRPr="000A1B78">
        <w:rPr>
          <w:rFonts w:cstheme="minorHAnsi"/>
          <w:sz w:val="20"/>
          <w:szCs w:val="20"/>
        </w:rPr>
        <w:t>5</w:t>
      </w:r>
      <w:r w:rsidR="00F56091">
        <w:rPr>
          <w:rFonts w:cstheme="minorHAnsi"/>
          <w:sz w:val="20"/>
          <w:szCs w:val="20"/>
        </w:rPr>
        <w:t>9</w:t>
      </w:r>
      <w:r w:rsidR="00C806DF" w:rsidRPr="000A1B78">
        <w:rPr>
          <w:rFonts w:cstheme="minorHAnsi"/>
          <w:sz w:val="20"/>
          <w:szCs w:val="20"/>
        </w:rPr>
        <w:t>,</w:t>
      </w:r>
      <w:r w:rsidR="00F56091">
        <w:rPr>
          <w:rFonts w:cstheme="minorHAnsi"/>
          <w:sz w:val="20"/>
          <w:szCs w:val="20"/>
        </w:rPr>
        <w:t>3</w:t>
      </w:r>
      <w:r w:rsidR="00C806DF" w:rsidRPr="000A1B78">
        <w:rPr>
          <w:rFonts w:cstheme="minorHAnsi"/>
          <w:sz w:val="20"/>
          <w:szCs w:val="20"/>
        </w:rPr>
        <w:t xml:space="preserve"> </w:t>
      </w:r>
      <w:r w:rsidRPr="000A1B78">
        <w:rPr>
          <w:rFonts w:cstheme="minorHAnsi"/>
          <w:sz w:val="20"/>
          <w:szCs w:val="20"/>
        </w:rPr>
        <w:t xml:space="preserve">razón por la que se sugiere reforzar en las asignaturas relacionadas con el fin de disminuir un </w:t>
      </w:r>
      <w:r w:rsidR="00880C18" w:rsidRPr="000A1B78">
        <w:rPr>
          <w:rFonts w:cstheme="minorHAnsi"/>
          <w:sz w:val="20"/>
          <w:szCs w:val="20"/>
        </w:rPr>
        <w:t>posible riesgo</w:t>
      </w:r>
      <w:r w:rsidRPr="000A1B78">
        <w:rPr>
          <w:rFonts w:cstheme="minorHAnsi"/>
          <w:sz w:val="20"/>
          <w:szCs w:val="20"/>
        </w:rPr>
        <w:t xml:space="preserve"> en los resultados académicos</w:t>
      </w:r>
      <w:r w:rsidR="00FA71DD" w:rsidRPr="000A1B78">
        <w:rPr>
          <w:rFonts w:cstheme="minorHAnsi"/>
          <w:sz w:val="20"/>
          <w:szCs w:val="20"/>
        </w:rPr>
        <w:t xml:space="preserve"> en esta área del conocimiento</w:t>
      </w:r>
      <w:r w:rsidRPr="000A1B78">
        <w:rPr>
          <w:rFonts w:cstheme="minorHAnsi"/>
          <w:sz w:val="20"/>
          <w:szCs w:val="20"/>
        </w:rPr>
        <w:t>.</w:t>
      </w:r>
    </w:p>
    <w:p w:rsidR="00A2517F" w:rsidRPr="000A1B78" w:rsidRDefault="00A2517F" w:rsidP="009C367B">
      <w:pPr>
        <w:jc w:val="center"/>
        <w:rPr>
          <w:rFonts w:cstheme="minorHAnsi"/>
          <w:sz w:val="20"/>
          <w:szCs w:val="20"/>
        </w:rPr>
      </w:pPr>
    </w:p>
    <w:p w:rsidR="00A2517F" w:rsidRPr="000A1B78" w:rsidRDefault="0007139A" w:rsidP="009C367B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488CE9EA" wp14:editId="6232BB64">
            <wp:extent cx="5629275" cy="2466975"/>
            <wp:effectExtent l="0" t="0" r="9525" b="952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75DFF" w:rsidRPr="000A1B78" w:rsidRDefault="00275DFF" w:rsidP="00275DFF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En la gráfica se observa que en el programa de química el mayor promedio obtenido se encuentra en </w:t>
      </w:r>
      <w:r w:rsidR="00BE0149" w:rsidRPr="000A1B78">
        <w:rPr>
          <w:rFonts w:cstheme="minorHAnsi"/>
          <w:sz w:val="20"/>
          <w:szCs w:val="20"/>
        </w:rPr>
        <w:t xml:space="preserve">ingles </w:t>
      </w:r>
      <w:r w:rsidRPr="000A1B78">
        <w:rPr>
          <w:rFonts w:cstheme="minorHAnsi"/>
          <w:sz w:val="20"/>
          <w:szCs w:val="20"/>
        </w:rPr>
        <w:t xml:space="preserve">con </w:t>
      </w:r>
      <w:r w:rsidR="00D51044">
        <w:rPr>
          <w:rFonts w:cstheme="minorHAnsi"/>
          <w:sz w:val="20"/>
          <w:szCs w:val="20"/>
        </w:rPr>
        <w:t>62,9</w:t>
      </w:r>
      <w:r w:rsidRPr="000A1B78">
        <w:rPr>
          <w:rFonts w:cstheme="minorHAnsi"/>
          <w:sz w:val="20"/>
          <w:szCs w:val="20"/>
        </w:rPr>
        <w:t xml:space="preserve"> aspecto que resulta una forta</w:t>
      </w:r>
      <w:r w:rsidR="00D51044">
        <w:rPr>
          <w:rFonts w:cstheme="minorHAnsi"/>
          <w:sz w:val="20"/>
          <w:szCs w:val="20"/>
        </w:rPr>
        <w:t>leza en el desempeño académico</w:t>
      </w:r>
      <w:r w:rsidRPr="000A1B78">
        <w:rPr>
          <w:rFonts w:cstheme="minorHAnsi"/>
          <w:sz w:val="20"/>
          <w:szCs w:val="20"/>
        </w:rPr>
        <w:t xml:space="preserve">, sin </w:t>
      </w:r>
      <w:r w:rsidR="00427ABA" w:rsidRPr="000A1B78">
        <w:rPr>
          <w:rFonts w:cstheme="minorHAnsi"/>
          <w:sz w:val="20"/>
          <w:szCs w:val="20"/>
        </w:rPr>
        <w:t xml:space="preserve">embargo, en el área de </w:t>
      </w:r>
      <w:r w:rsidR="00D51044">
        <w:rPr>
          <w:rFonts w:cstheme="minorHAnsi"/>
          <w:sz w:val="20"/>
          <w:szCs w:val="20"/>
        </w:rPr>
        <w:t xml:space="preserve">lectura crítica </w:t>
      </w:r>
      <w:r w:rsidR="00427ABA" w:rsidRPr="000A1B78">
        <w:rPr>
          <w:rFonts w:cstheme="minorHAnsi"/>
          <w:sz w:val="20"/>
          <w:szCs w:val="20"/>
        </w:rPr>
        <w:t xml:space="preserve">con </w:t>
      </w:r>
      <w:r w:rsidR="00D51044">
        <w:rPr>
          <w:rFonts w:cstheme="minorHAnsi"/>
          <w:sz w:val="20"/>
          <w:szCs w:val="20"/>
        </w:rPr>
        <w:t>56,7</w:t>
      </w:r>
      <w:r w:rsidR="00BE0149" w:rsidRPr="000A1B78">
        <w:rPr>
          <w:rFonts w:cstheme="minorHAnsi"/>
          <w:sz w:val="20"/>
          <w:szCs w:val="20"/>
        </w:rPr>
        <w:t xml:space="preserve"> </w:t>
      </w:r>
      <w:r w:rsidRPr="000A1B78">
        <w:rPr>
          <w:rFonts w:cstheme="minorHAnsi"/>
          <w:sz w:val="20"/>
          <w:szCs w:val="20"/>
        </w:rPr>
        <w:t>es el promedio más bajo aspecto que se debe reforzar en las diferentes asignaturas con el fin de lograr una mayor comprensión lectora, argumentación y comunicación verbal y escrita.</w:t>
      </w:r>
    </w:p>
    <w:p w:rsidR="00BE0149" w:rsidRPr="000A1B78" w:rsidRDefault="00BE0149" w:rsidP="00275DFF">
      <w:pPr>
        <w:jc w:val="both"/>
        <w:rPr>
          <w:rFonts w:cstheme="minorHAnsi"/>
          <w:sz w:val="20"/>
          <w:szCs w:val="20"/>
        </w:rPr>
      </w:pPr>
    </w:p>
    <w:p w:rsidR="00862422" w:rsidRPr="000A1B78" w:rsidRDefault="0007139A" w:rsidP="00275DFF">
      <w:pPr>
        <w:rPr>
          <w:rFonts w:cstheme="minorHAnsi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25C07E07" wp14:editId="6EC52FA4">
            <wp:extent cx="5734050" cy="2714625"/>
            <wp:effectExtent l="0" t="0" r="0" b="9525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2517F" w:rsidRPr="000A1B78" w:rsidRDefault="00A2517F" w:rsidP="009C367B">
      <w:pPr>
        <w:jc w:val="center"/>
        <w:rPr>
          <w:rFonts w:cstheme="minorHAnsi"/>
          <w:sz w:val="20"/>
          <w:szCs w:val="20"/>
        </w:rPr>
      </w:pPr>
    </w:p>
    <w:p w:rsidR="00D919F4" w:rsidRPr="000A1B78" w:rsidRDefault="00D919F4" w:rsidP="00D919F4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>E</w:t>
      </w:r>
      <w:r w:rsidR="00427ABA" w:rsidRPr="000A1B78">
        <w:rPr>
          <w:rFonts w:cstheme="minorHAnsi"/>
          <w:sz w:val="20"/>
          <w:szCs w:val="20"/>
        </w:rPr>
        <w:t xml:space="preserve">n los resultados de la gráfica </w:t>
      </w:r>
      <w:r w:rsidRPr="000A1B78">
        <w:rPr>
          <w:rFonts w:cstheme="minorHAnsi"/>
          <w:sz w:val="20"/>
          <w:szCs w:val="20"/>
        </w:rPr>
        <w:t xml:space="preserve">se observa que el programa de Ciencias del Deporte obtuvo el mejor promedio en inglés </w:t>
      </w:r>
      <w:r w:rsidR="00400FCE">
        <w:rPr>
          <w:rFonts w:cstheme="minorHAnsi"/>
          <w:sz w:val="20"/>
          <w:szCs w:val="20"/>
        </w:rPr>
        <w:t>59</w:t>
      </w:r>
      <w:r w:rsidR="00BE0149" w:rsidRPr="000A1B78">
        <w:rPr>
          <w:rFonts w:cstheme="minorHAnsi"/>
          <w:sz w:val="20"/>
          <w:szCs w:val="20"/>
        </w:rPr>
        <w:t xml:space="preserve"> </w:t>
      </w:r>
      <w:r w:rsidRPr="000A1B78">
        <w:rPr>
          <w:rFonts w:cstheme="minorHAnsi"/>
          <w:sz w:val="20"/>
          <w:szCs w:val="20"/>
        </w:rPr>
        <w:t xml:space="preserve">y </w:t>
      </w:r>
      <w:r w:rsidR="00400FCE">
        <w:rPr>
          <w:rFonts w:cstheme="minorHAnsi"/>
          <w:sz w:val="20"/>
          <w:szCs w:val="20"/>
        </w:rPr>
        <w:t>matemáticas</w:t>
      </w:r>
      <w:r w:rsidRPr="000A1B78">
        <w:rPr>
          <w:rFonts w:cstheme="minorHAnsi"/>
          <w:sz w:val="20"/>
          <w:szCs w:val="20"/>
        </w:rPr>
        <w:t xml:space="preserve"> con</w:t>
      </w:r>
      <w:r w:rsidR="00D376B7">
        <w:rPr>
          <w:rFonts w:cstheme="minorHAnsi"/>
          <w:sz w:val="20"/>
          <w:szCs w:val="20"/>
        </w:rPr>
        <w:t xml:space="preserve"> 57,1</w:t>
      </w:r>
      <w:r w:rsidRPr="000A1B78">
        <w:rPr>
          <w:rFonts w:cstheme="minorHAnsi"/>
          <w:sz w:val="20"/>
          <w:szCs w:val="20"/>
        </w:rPr>
        <w:t xml:space="preserve"> siendo una gran fortaleza en el proceso de profesionalización, sin </w:t>
      </w:r>
      <w:r w:rsidR="00BE0149" w:rsidRPr="000A1B78">
        <w:rPr>
          <w:rFonts w:cstheme="minorHAnsi"/>
          <w:sz w:val="20"/>
          <w:szCs w:val="20"/>
        </w:rPr>
        <w:t>embargo,</w:t>
      </w:r>
      <w:r w:rsidRPr="000A1B78">
        <w:rPr>
          <w:rFonts w:cstheme="minorHAnsi"/>
          <w:sz w:val="20"/>
          <w:szCs w:val="20"/>
        </w:rPr>
        <w:t xml:space="preserve"> en el área de </w:t>
      </w:r>
      <w:r w:rsidR="00400FCE">
        <w:rPr>
          <w:rFonts w:cstheme="minorHAnsi"/>
          <w:sz w:val="20"/>
          <w:szCs w:val="20"/>
        </w:rPr>
        <w:t>ciencias naturales</w:t>
      </w:r>
      <w:r w:rsidRPr="000A1B78">
        <w:rPr>
          <w:rFonts w:cstheme="minorHAnsi"/>
          <w:sz w:val="20"/>
          <w:szCs w:val="20"/>
        </w:rPr>
        <w:t xml:space="preserve"> con 5</w:t>
      </w:r>
      <w:r w:rsidR="00400FCE">
        <w:rPr>
          <w:rFonts w:cstheme="minorHAnsi"/>
          <w:sz w:val="20"/>
          <w:szCs w:val="20"/>
        </w:rPr>
        <w:t>4</w:t>
      </w:r>
      <w:r w:rsidRPr="000A1B78">
        <w:rPr>
          <w:rFonts w:cstheme="minorHAnsi"/>
          <w:sz w:val="20"/>
          <w:szCs w:val="20"/>
        </w:rPr>
        <w:t>,</w:t>
      </w:r>
      <w:r w:rsidR="00400FCE">
        <w:rPr>
          <w:rFonts w:cstheme="minorHAnsi"/>
          <w:sz w:val="20"/>
          <w:szCs w:val="20"/>
        </w:rPr>
        <w:t>8</w:t>
      </w:r>
      <w:r w:rsidRPr="000A1B78">
        <w:rPr>
          <w:rFonts w:cstheme="minorHAnsi"/>
          <w:sz w:val="20"/>
          <w:szCs w:val="20"/>
        </w:rPr>
        <w:t xml:space="preserve"> se obtuvo el menor promedio razón por la que se recomienda a los docentes motivar a los estudiantes en las diferentes asignaturas a reforzar la lectura, argumentación y </w:t>
      </w:r>
      <w:r w:rsidR="00D51DF5" w:rsidRPr="000A1B78">
        <w:rPr>
          <w:rFonts w:cstheme="minorHAnsi"/>
          <w:sz w:val="20"/>
          <w:szCs w:val="20"/>
        </w:rPr>
        <w:t>comunicación escrita</w:t>
      </w:r>
      <w:r w:rsidRPr="000A1B78">
        <w:rPr>
          <w:rFonts w:cstheme="minorHAnsi"/>
          <w:sz w:val="20"/>
          <w:szCs w:val="20"/>
        </w:rPr>
        <w:t xml:space="preserve"> y verbal.</w:t>
      </w:r>
    </w:p>
    <w:p w:rsidR="00A2517F" w:rsidRPr="000A1B78" w:rsidRDefault="0007139A" w:rsidP="009C367B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55C99CFF" wp14:editId="04DD4F0A">
            <wp:extent cx="5941060" cy="3174365"/>
            <wp:effectExtent l="0" t="0" r="2540" b="698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919F4" w:rsidRPr="000A1B78" w:rsidRDefault="00D919F4" w:rsidP="00D919F4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En los resultados se evidencia que en el programa de T.E.D. el área con </w:t>
      </w:r>
      <w:r w:rsidR="00D51DF5" w:rsidRPr="000A1B78">
        <w:rPr>
          <w:rFonts w:cstheme="minorHAnsi"/>
          <w:sz w:val="20"/>
          <w:szCs w:val="20"/>
        </w:rPr>
        <w:t>mayor promedio</w:t>
      </w:r>
      <w:r w:rsidRPr="000A1B78">
        <w:rPr>
          <w:rFonts w:cstheme="minorHAnsi"/>
          <w:sz w:val="20"/>
          <w:szCs w:val="20"/>
        </w:rPr>
        <w:t xml:space="preserve"> es </w:t>
      </w:r>
      <w:r w:rsidR="00B7034B">
        <w:rPr>
          <w:rFonts w:cstheme="minorHAnsi"/>
          <w:sz w:val="20"/>
          <w:szCs w:val="20"/>
        </w:rPr>
        <w:t>competencias ciudadanas con 48,4 y lectura crítica</w:t>
      </w:r>
      <w:r w:rsidR="00812E8F" w:rsidRPr="000A1B78">
        <w:rPr>
          <w:rFonts w:cstheme="minorHAnsi"/>
          <w:sz w:val="20"/>
          <w:szCs w:val="20"/>
        </w:rPr>
        <w:t xml:space="preserve"> con 48,</w:t>
      </w:r>
      <w:r w:rsidR="00B7034B">
        <w:rPr>
          <w:rFonts w:cstheme="minorHAnsi"/>
          <w:sz w:val="20"/>
          <w:szCs w:val="20"/>
        </w:rPr>
        <w:t>1</w:t>
      </w:r>
      <w:r w:rsidR="00DE4C9D" w:rsidRPr="000A1B78">
        <w:rPr>
          <w:rFonts w:cstheme="minorHAnsi"/>
          <w:sz w:val="20"/>
          <w:szCs w:val="20"/>
        </w:rPr>
        <w:t xml:space="preserve"> lo</w:t>
      </w:r>
      <w:r w:rsidRPr="000A1B78">
        <w:rPr>
          <w:rFonts w:cstheme="minorHAnsi"/>
          <w:sz w:val="20"/>
          <w:szCs w:val="20"/>
        </w:rPr>
        <w:t xml:space="preserve"> cual representa una oportunidad en el desempeño académico, sin </w:t>
      </w:r>
      <w:r w:rsidR="00C26D34" w:rsidRPr="000A1B78">
        <w:rPr>
          <w:rFonts w:cstheme="minorHAnsi"/>
          <w:sz w:val="20"/>
          <w:szCs w:val="20"/>
        </w:rPr>
        <w:t>embargo,</w:t>
      </w:r>
      <w:r w:rsidRPr="000A1B78">
        <w:rPr>
          <w:rFonts w:cstheme="minorHAnsi"/>
          <w:sz w:val="20"/>
          <w:szCs w:val="20"/>
        </w:rPr>
        <w:t xml:space="preserve"> el menor promedio fue el área de </w:t>
      </w:r>
      <w:r w:rsidR="00B7034B">
        <w:rPr>
          <w:rFonts w:cstheme="minorHAnsi"/>
          <w:sz w:val="20"/>
          <w:szCs w:val="20"/>
        </w:rPr>
        <w:t>ingles con 47,3 el</w:t>
      </w:r>
      <w:r w:rsidRPr="000A1B78">
        <w:rPr>
          <w:rFonts w:cstheme="minorHAnsi"/>
          <w:sz w:val="20"/>
          <w:szCs w:val="20"/>
        </w:rPr>
        <w:t xml:space="preserve"> cual debe recibir la atención necesaria por parte de los docentes quienes deben reforzar las bases relacionadas con el tema con el fin de disminuir riesgos académicos y posible deserción.   </w:t>
      </w:r>
    </w:p>
    <w:p w:rsidR="00C26D34" w:rsidRPr="000A1B78" w:rsidRDefault="00C26D34" w:rsidP="00D919F4">
      <w:pPr>
        <w:jc w:val="both"/>
        <w:rPr>
          <w:rFonts w:cstheme="minorHAnsi"/>
          <w:sz w:val="20"/>
          <w:szCs w:val="20"/>
        </w:rPr>
      </w:pPr>
    </w:p>
    <w:p w:rsidR="00A2517F" w:rsidRPr="000A1B78" w:rsidRDefault="00FB71CA" w:rsidP="00A2517F">
      <w:pPr>
        <w:ind w:firstLine="142"/>
        <w:jc w:val="both"/>
        <w:rPr>
          <w:rFonts w:cstheme="minorHAnsi"/>
          <w:sz w:val="20"/>
          <w:szCs w:val="20"/>
          <w:highlight w:val="yellow"/>
        </w:rPr>
      </w:pPr>
      <w:r>
        <w:rPr>
          <w:noProof/>
          <w:lang w:eastAsia="es-CO"/>
        </w:rPr>
        <w:drawing>
          <wp:inline distT="0" distB="0" distL="0" distR="0" wp14:anchorId="3AF110D0" wp14:editId="169CE813">
            <wp:extent cx="5762625" cy="2600325"/>
            <wp:effectExtent l="0" t="0" r="9525" b="9525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F090F" w:rsidRPr="000A1B78" w:rsidRDefault="006F090F" w:rsidP="006F090F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>De acuerdo con los resultados se evidencia que en el programa de Medicina el mayor promedio fue Ingles con 6</w:t>
      </w:r>
      <w:r w:rsidR="00BB4B92">
        <w:rPr>
          <w:rFonts w:cstheme="minorHAnsi"/>
          <w:sz w:val="20"/>
          <w:szCs w:val="20"/>
        </w:rPr>
        <w:t>7</w:t>
      </w:r>
      <w:r w:rsidR="00427DAB" w:rsidRPr="000A1B78">
        <w:rPr>
          <w:rFonts w:cstheme="minorHAnsi"/>
          <w:sz w:val="20"/>
          <w:szCs w:val="20"/>
        </w:rPr>
        <w:t>,8</w:t>
      </w:r>
      <w:r w:rsidR="00BB4B92">
        <w:rPr>
          <w:rFonts w:cstheme="minorHAnsi"/>
          <w:sz w:val="20"/>
          <w:szCs w:val="20"/>
        </w:rPr>
        <w:t xml:space="preserve">, </w:t>
      </w:r>
      <w:r w:rsidR="00427DAB" w:rsidRPr="000A1B78">
        <w:rPr>
          <w:rFonts w:cstheme="minorHAnsi"/>
          <w:sz w:val="20"/>
          <w:szCs w:val="20"/>
        </w:rPr>
        <w:t>competencias ciudadanas</w:t>
      </w:r>
      <w:r w:rsidR="00BB4B92">
        <w:rPr>
          <w:rFonts w:cstheme="minorHAnsi"/>
          <w:sz w:val="20"/>
          <w:szCs w:val="20"/>
        </w:rPr>
        <w:t xml:space="preserve"> y ciencias naturales</w:t>
      </w:r>
      <w:r w:rsidR="00427DAB" w:rsidRPr="000A1B78">
        <w:rPr>
          <w:rFonts w:cstheme="minorHAnsi"/>
          <w:sz w:val="20"/>
          <w:szCs w:val="20"/>
        </w:rPr>
        <w:t xml:space="preserve"> </w:t>
      </w:r>
      <w:r w:rsidR="00BB4B92">
        <w:rPr>
          <w:rFonts w:cstheme="minorHAnsi"/>
          <w:sz w:val="20"/>
          <w:szCs w:val="20"/>
        </w:rPr>
        <w:t>con 64</w:t>
      </w:r>
      <w:r w:rsidRPr="000A1B78">
        <w:rPr>
          <w:rFonts w:cstheme="minorHAnsi"/>
          <w:sz w:val="20"/>
          <w:szCs w:val="20"/>
        </w:rPr>
        <w:t>,</w:t>
      </w:r>
      <w:r w:rsidR="00BB4B92">
        <w:rPr>
          <w:rFonts w:cstheme="minorHAnsi"/>
          <w:sz w:val="20"/>
          <w:szCs w:val="20"/>
        </w:rPr>
        <w:t>7</w:t>
      </w:r>
      <w:r w:rsidR="00427DAB" w:rsidRPr="000A1B78">
        <w:rPr>
          <w:rFonts w:cstheme="minorHAnsi"/>
          <w:sz w:val="20"/>
          <w:szCs w:val="20"/>
        </w:rPr>
        <w:t>;</w:t>
      </w:r>
      <w:r w:rsidRPr="000A1B78">
        <w:rPr>
          <w:rFonts w:cstheme="minorHAnsi"/>
          <w:sz w:val="20"/>
          <w:szCs w:val="20"/>
        </w:rPr>
        <w:t xml:space="preserve"> lo cual representa una fortaleza en el desempeño académico y el menor promedio Lectura Crítica con 6</w:t>
      </w:r>
      <w:r w:rsidR="00BB4B92">
        <w:rPr>
          <w:rFonts w:cstheme="minorHAnsi"/>
          <w:sz w:val="20"/>
          <w:szCs w:val="20"/>
        </w:rPr>
        <w:t>3</w:t>
      </w:r>
      <w:r w:rsidRPr="000A1B78">
        <w:rPr>
          <w:rFonts w:cstheme="minorHAnsi"/>
          <w:sz w:val="20"/>
          <w:szCs w:val="20"/>
        </w:rPr>
        <w:t>,</w:t>
      </w:r>
      <w:r w:rsidR="00BB4B92">
        <w:rPr>
          <w:rFonts w:cstheme="minorHAnsi"/>
          <w:sz w:val="20"/>
          <w:szCs w:val="20"/>
        </w:rPr>
        <w:t>3</w:t>
      </w:r>
      <w:r w:rsidRPr="000A1B78">
        <w:rPr>
          <w:rFonts w:cstheme="minorHAnsi"/>
          <w:sz w:val="20"/>
          <w:szCs w:val="20"/>
        </w:rPr>
        <w:t xml:space="preserve"> aspecto que debe ser reforzado en las diferentes asignaturas por los docentes con el fin de motivar la lectura, argumentación y comunicación en los estudiantes. </w:t>
      </w:r>
    </w:p>
    <w:p w:rsidR="00DA643E" w:rsidRPr="000A1B78" w:rsidRDefault="00DA643E" w:rsidP="00C560F9">
      <w:pPr>
        <w:jc w:val="both"/>
        <w:rPr>
          <w:rFonts w:cstheme="minorHAnsi"/>
          <w:sz w:val="20"/>
          <w:szCs w:val="20"/>
          <w:highlight w:val="yellow"/>
        </w:rPr>
      </w:pPr>
    </w:p>
    <w:p w:rsidR="00A2517F" w:rsidRPr="000A1B78" w:rsidRDefault="00FB71CA" w:rsidP="00C560F9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noProof/>
          <w:lang w:eastAsia="es-CO"/>
        </w:rPr>
        <w:drawing>
          <wp:inline distT="0" distB="0" distL="0" distR="0" wp14:anchorId="64479ABF" wp14:editId="21B68738">
            <wp:extent cx="5902960" cy="2495550"/>
            <wp:effectExtent l="0" t="0" r="2540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E09D7" w:rsidRPr="000A1B78" w:rsidRDefault="007E09D7" w:rsidP="007E09D7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En el programa de Enfermería se percibe que el mayor promedio se encuentra en </w:t>
      </w:r>
      <w:r w:rsidR="009B48A1">
        <w:rPr>
          <w:rFonts w:cstheme="minorHAnsi"/>
          <w:sz w:val="20"/>
          <w:szCs w:val="20"/>
        </w:rPr>
        <w:t>competencias ciudadanas</w:t>
      </w:r>
      <w:r w:rsidR="0065068F" w:rsidRPr="000A1B78">
        <w:rPr>
          <w:rFonts w:cstheme="minorHAnsi"/>
          <w:sz w:val="20"/>
          <w:szCs w:val="20"/>
        </w:rPr>
        <w:t xml:space="preserve"> con un puntaje de 5</w:t>
      </w:r>
      <w:r w:rsidR="00427DAB" w:rsidRPr="000A1B78">
        <w:rPr>
          <w:rFonts w:cstheme="minorHAnsi"/>
          <w:sz w:val="20"/>
          <w:szCs w:val="20"/>
        </w:rPr>
        <w:t>3</w:t>
      </w:r>
      <w:r w:rsidR="0065068F" w:rsidRPr="000A1B78">
        <w:rPr>
          <w:rFonts w:cstheme="minorHAnsi"/>
          <w:sz w:val="20"/>
          <w:szCs w:val="20"/>
        </w:rPr>
        <w:t>,</w:t>
      </w:r>
      <w:r w:rsidR="009B48A1">
        <w:rPr>
          <w:rFonts w:cstheme="minorHAnsi"/>
          <w:sz w:val="20"/>
          <w:szCs w:val="20"/>
        </w:rPr>
        <w:t>8</w:t>
      </w:r>
      <w:r w:rsidRPr="000A1B78">
        <w:rPr>
          <w:rFonts w:cstheme="minorHAnsi"/>
          <w:sz w:val="20"/>
          <w:szCs w:val="20"/>
        </w:rPr>
        <w:t xml:space="preserve"> siendo una fortaleza en la profesionalización de los estudiantes y el promedio </w:t>
      </w:r>
      <w:r w:rsidR="00956835" w:rsidRPr="000A1B78">
        <w:rPr>
          <w:rFonts w:cstheme="minorHAnsi"/>
          <w:sz w:val="20"/>
          <w:szCs w:val="20"/>
        </w:rPr>
        <w:t xml:space="preserve">menor </w:t>
      </w:r>
      <w:r w:rsidR="00721302" w:rsidRPr="000A1B78">
        <w:rPr>
          <w:rFonts w:cstheme="minorHAnsi"/>
          <w:sz w:val="20"/>
          <w:szCs w:val="20"/>
        </w:rPr>
        <w:t xml:space="preserve">en </w:t>
      </w:r>
      <w:r w:rsidR="009B48A1">
        <w:rPr>
          <w:rFonts w:cstheme="minorHAnsi"/>
          <w:sz w:val="20"/>
          <w:szCs w:val="20"/>
        </w:rPr>
        <w:t xml:space="preserve">ingles con </w:t>
      </w:r>
      <w:r w:rsidR="0065068F" w:rsidRPr="000A1B78">
        <w:rPr>
          <w:rFonts w:cstheme="minorHAnsi"/>
          <w:sz w:val="20"/>
          <w:szCs w:val="20"/>
        </w:rPr>
        <w:t>5</w:t>
      </w:r>
      <w:r w:rsidR="00956835" w:rsidRPr="000A1B78">
        <w:rPr>
          <w:rFonts w:cstheme="minorHAnsi"/>
          <w:sz w:val="20"/>
          <w:szCs w:val="20"/>
        </w:rPr>
        <w:t>2</w:t>
      </w:r>
      <w:r w:rsidR="0065068F" w:rsidRPr="000A1B78">
        <w:rPr>
          <w:rFonts w:cstheme="minorHAnsi"/>
          <w:sz w:val="20"/>
          <w:szCs w:val="20"/>
        </w:rPr>
        <w:t>,</w:t>
      </w:r>
      <w:r w:rsidR="009B48A1">
        <w:rPr>
          <w:rFonts w:cstheme="minorHAnsi"/>
          <w:sz w:val="20"/>
          <w:szCs w:val="20"/>
        </w:rPr>
        <w:t>5</w:t>
      </w:r>
      <w:r w:rsidRPr="000A1B78">
        <w:rPr>
          <w:rFonts w:cstheme="minorHAnsi"/>
          <w:sz w:val="20"/>
          <w:szCs w:val="20"/>
        </w:rPr>
        <w:t xml:space="preserve"> aspecto que se debe </w:t>
      </w:r>
      <w:r w:rsidR="00721302" w:rsidRPr="000A1B78">
        <w:rPr>
          <w:rFonts w:cstheme="minorHAnsi"/>
          <w:sz w:val="20"/>
          <w:szCs w:val="20"/>
        </w:rPr>
        <w:t>reforzar siendo</w:t>
      </w:r>
      <w:r w:rsidR="0065068F" w:rsidRPr="000A1B78">
        <w:rPr>
          <w:rFonts w:cstheme="minorHAnsi"/>
          <w:sz w:val="20"/>
          <w:szCs w:val="20"/>
        </w:rPr>
        <w:t xml:space="preserve"> esta un área del conocimiento importante en </w:t>
      </w:r>
      <w:r w:rsidR="00F93EFB" w:rsidRPr="000A1B78">
        <w:rPr>
          <w:rFonts w:cstheme="minorHAnsi"/>
          <w:sz w:val="20"/>
          <w:szCs w:val="20"/>
        </w:rPr>
        <w:t>el pensamiento lógico del estudiante.</w:t>
      </w:r>
    </w:p>
    <w:p w:rsidR="00DA643E" w:rsidRPr="000A1B78" w:rsidRDefault="00DA643E" w:rsidP="00C560F9">
      <w:pPr>
        <w:jc w:val="both"/>
        <w:rPr>
          <w:rFonts w:cstheme="minorHAnsi"/>
          <w:sz w:val="20"/>
          <w:szCs w:val="20"/>
          <w:highlight w:val="yellow"/>
        </w:rPr>
      </w:pPr>
    </w:p>
    <w:p w:rsidR="00A2517F" w:rsidRPr="000A1B78" w:rsidRDefault="00FB71CA" w:rsidP="00C560F9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noProof/>
          <w:lang w:eastAsia="es-CO"/>
        </w:rPr>
        <w:drawing>
          <wp:inline distT="0" distB="0" distL="0" distR="0" wp14:anchorId="7DFCC705" wp14:editId="36CDDA51">
            <wp:extent cx="5941060" cy="2743200"/>
            <wp:effectExtent l="0" t="0" r="2540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E3C1E" w:rsidRPr="000A1B78" w:rsidRDefault="006E3C1E" w:rsidP="006E3C1E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En la gráfica se observa que en el programa de Ciencias Ambientales el mayor promedio obtenido se encuentra en </w:t>
      </w:r>
      <w:r w:rsidR="00CB5F61">
        <w:rPr>
          <w:rFonts w:cstheme="minorHAnsi"/>
          <w:sz w:val="20"/>
          <w:szCs w:val="20"/>
        </w:rPr>
        <w:t>competencias ciudadanas</w:t>
      </w:r>
      <w:r w:rsidRPr="000A1B78">
        <w:rPr>
          <w:rFonts w:cstheme="minorHAnsi"/>
          <w:sz w:val="20"/>
          <w:szCs w:val="20"/>
        </w:rPr>
        <w:t xml:space="preserve"> con </w:t>
      </w:r>
      <w:r w:rsidR="00CB5F61">
        <w:rPr>
          <w:rFonts w:cstheme="minorHAnsi"/>
          <w:sz w:val="20"/>
          <w:szCs w:val="20"/>
        </w:rPr>
        <w:t>60,8</w:t>
      </w:r>
      <w:r w:rsidR="00235B25" w:rsidRPr="000A1B78">
        <w:rPr>
          <w:rFonts w:cstheme="minorHAnsi"/>
          <w:sz w:val="20"/>
          <w:szCs w:val="20"/>
        </w:rPr>
        <w:t xml:space="preserve"> </w:t>
      </w:r>
      <w:r w:rsidR="00CB5F61">
        <w:rPr>
          <w:rFonts w:cstheme="minorHAnsi"/>
          <w:sz w:val="20"/>
          <w:szCs w:val="20"/>
        </w:rPr>
        <w:t xml:space="preserve">e </w:t>
      </w:r>
      <w:r w:rsidR="001522C0">
        <w:rPr>
          <w:rFonts w:cstheme="minorHAnsi"/>
          <w:sz w:val="20"/>
          <w:szCs w:val="20"/>
        </w:rPr>
        <w:t>inglés</w:t>
      </w:r>
      <w:r w:rsidR="00CB5F61">
        <w:rPr>
          <w:rFonts w:cstheme="minorHAnsi"/>
          <w:sz w:val="20"/>
          <w:szCs w:val="20"/>
        </w:rPr>
        <w:t xml:space="preserve"> con 57,8</w:t>
      </w:r>
      <w:r w:rsidR="00235B25" w:rsidRPr="000A1B78">
        <w:rPr>
          <w:rFonts w:cstheme="minorHAnsi"/>
          <w:sz w:val="20"/>
          <w:szCs w:val="20"/>
        </w:rPr>
        <w:t xml:space="preserve"> </w:t>
      </w:r>
      <w:r w:rsidR="00721302" w:rsidRPr="000A1B78">
        <w:rPr>
          <w:rFonts w:cstheme="minorHAnsi"/>
          <w:sz w:val="20"/>
          <w:szCs w:val="20"/>
        </w:rPr>
        <w:t>aspecto</w:t>
      </w:r>
      <w:r w:rsidR="00235B25" w:rsidRPr="000A1B78">
        <w:rPr>
          <w:rFonts w:cstheme="minorHAnsi"/>
          <w:sz w:val="20"/>
          <w:szCs w:val="20"/>
        </w:rPr>
        <w:t>s</w:t>
      </w:r>
      <w:r w:rsidRPr="000A1B78">
        <w:rPr>
          <w:rFonts w:cstheme="minorHAnsi"/>
          <w:sz w:val="20"/>
          <w:szCs w:val="20"/>
        </w:rPr>
        <w:t xml:space="preserve"> que resulta</w:t>
      </w:r>
      <w:r w:rsidR="00235B25" w:rsidRPr="000A1B78">
        <w:rPr>
          <w:rFonts w:cstheme="minorHAnsi"/>
          <w:sz w:val="20"/>
          <w:szCs w:val="20"/>
        </w:rPr>
        <w:t>n</w:t>
      </w:r>
      <w:r w:rsidRPr="000A1B78">
        <w:rPr>
          <w:rFonts w:cstheme="minorHAnsi"/>
          <w:sz w:val="20"/>
          <w:szCs w:val="20"/>
        </w:rPr>
        <w:t xml:space="preserve"> una fortaleza en el desempeño académico, sin </w:t>
      </w:r>
      <w:r w:rsidR="00235B25" w:rsidRPr="000A1B78">
        <w:rPr>
          <w:rFonts w:cstheme="minorHAnsi"/>
          <w:sz w:val="20"/>
          <w:szCs w:val="20"/>
        </w:rPr>
        <w:t>embargo,</w:t>
      </w:r>
      <w:r w:rsidRPr="000A1B78">
        <w:rPr>
          <w:rFonts w:cstheme="minorHAnsi"/>
          <w:sz w:val="20"/>
          <w:szCs w:val="20"/>
        </w:rPr>
        <w:t xml:space="preserve"> en el área </w:t>
      </w:r>
      <w:r w:rsidR="00625EFF" w:rsidRPr="000A1B78">
        <w:rPr>
          <w:rFonts w:cstheme="minorHAnsi"/>
          <w:sz w:val="20"/>
          <w:szCs w:val="20"/>
        </w:rPr>
        <w:t xml:space="preserve">de </w:t>
      </w:r>
      <w:r w:rsidR="00CB5F61">
        <w:rPr>
          <w:rFonts w:cstheme="minorHAnsi"/>
          <w:sz w:val="20"/>
          <w:szCs w:val="20"/>
        </w:rPr>
        <w:t xml:space="preserve">matemáticas </w:t>
      </w:r>
      <w:r w:rsidRPr="000A1B78">
        <w:rPr>
          <w:rFonts w:cstheme="minorHAnsi"/>
          <w:sz w:val="20"/>
          <w:szCs w:val="20"/>
        </w:rPr>
        <w:t xml:space="preserve">con </w:t>
      </w:r>
      <w:r w:rsidR="00CB5F61">
        <w:rPr>
          <w:rFonts w:cstheme="minorHAnsi"/>
          <w:sz w:val="20"/>
          <w:szCs w:val="20"/>
        </w:rPr>
        <w:t>50</w:t>
      </w:r>
      <w:r w:rsidR="00DE4C9D" w:rsidRPr="000A1B78">
        <w:rPr>
          <w:rFonts w:cstheme="minorHAnsi"/>
          <w:sz w:val="20"/>
          <w:szCs w:val="20"/>
        </w:rPr>
        <w:t>,</w:t>
      </w:r>
      <w:r w:rsidR="00CB5F61">
        <w:rPr>
          <w:rFonts w:cstheme="minorHAnsi"/>
          <w:sz w:val="20"/>
          <w:szCs w:val="20"/>
        </w:rPr>
        <w:t>6</w:t>
      </w:r>
      <w:r w:rsidR="00C052D4" w:rsidRPr="000A1B78">
        <w:rPr>
          <w:rFonts w:cstheme="minorHAnsi"/>
          <w:sz w:val="20"/>
          <w:szCs w:val="20"/>
        </w:rPr>
        <w:t xml:space="preserve"> </w:t>
      </w:r>
      <w:r w:rsidR="00721302" w:rsidRPr="000A1B78">
        <w:rPr>
          <w:rFonts w:cstheme="minorHAnsi"/>
          <w:sz w:val="20"/>
          <w:szCs w:val="20"/>
        </w:rPr>
        <w:t>es</w:t>
      </w:r>
      <w:r w:rsidRPr="000A1B78">
        <w:rPr>
          <w:rFonts w:cstheme="minorHAnsi"/>
          <w:sz w:val="20"/>
          <w:szCs w:val="20"/>
        </w:rPr>
        <w:t xml:space="preserve"> </w:t>
      </w:r>
      <w:r w:rsidR="001522C0" w:rsidRPr="000A1B78">
        <w:rPr>
          <w:rFonts w:cstheme="minorHAnsi"/>
          <w:sz w:val="20"/>
          <w:szCs w:val="20"/>
        </w:rPr>
        <w:t xml:space="preserve">el </w:t>
      </w:r>
      <w:r w:rsidR="001522C0">
        <w:rPr>
          <w:rFonts w:cstheme="minorHAnsi"/>
          <w:sz w:val="20"/>
          <w:szCs w:val="20"/>
        </w:rPr>
        <w:t xml:space="preserve">menor </w:t>
      </w:r>
      <w:r w:rsidR="001522C0" w:rsidRPr="000A1B78">
        <w:rPr>
          <w:rFonts w:cstheme="minorHAnsi"/>
          <w:sz w:val="20"/>
          <w:szCs w:val="20"/>
        </w:rPr>
        <w:t>promedio</w:t>
      </w:r>
      <w:r w:rsidR="001522C0">
        <w:rPr>
          <w:rFonts w:cstheme="minorHAnsi"/>
          <w:sz w:val="20"/>
          <w:szCs w:val="20"/>
        </w:rPr>
        <w:t>;</w:t>
      </w:r>
      <w:r w:rsidR="001522C0" w:rsidRPr="000A1B78">
        <w:rPr>
          <w:rFonts w:cstheme="minorHAnsi"/>
          <w:sz w:val="20"/>
          <w:szCs w:val="20"/>
        </w:rPr>
        <w:t xml:space="preserve"> aspecto</w:t>
      </w:r>
      <w:r w:rsidRPr="000A1B78">
        <w:rPr>
          <w:rFonts w:cstheme="minorHAnsi"/>
          <w:sz w:val="20"/>
          <w:szCs w:val="20"/>
        </w:rPr>
        <w:t xml:space="preserve"> que se debe reforzar en las diferentes asignaturas con el fin de lograr una mayor comprensión</w:t>
      </w:r>
      <w:r w:rsidR="00DE4C9D" w:rsidRPr="000A1B78">
        <w:rPr>
          <w:rFonts w:cstheme="minorHAnsi"/>
          <w:sz w:val="20"/>
          <w:szCs w:val="20"/>
        </w:rPr>
        <w:t xml:space="preserve"> y</w:t>
      </w:r>
      <w:r w:rsidRPr="000A1B78">
        <w:rPr>
          <w:rFonts w:cstheme="minorHAnsi"/>
          <w:sz w:val="20"/>
          <w:szCs w:val="20"/>
        </w:rPr>
        <w:t xml:space="preserve"> argumentación</w:t>
      </w:r>
      <w:r w:rsidR="00DE4C9D" w:rsidRPr="000A1B78">
        <w:rPr>
          <w:rFonts w:cstheme="minorHAnsi"/>
          <w:sz w:val="20"/>
          <w:szCs w:val="20"/>
        </w:rPr>
        <w:t xml:space="preserve"> en el tema</w:t>
      </w:r>
      <w:r w:rsidRPr="000A1B78">
        <w:rPr>
          <w:rFonts w:cstheme="minorHAnsi"/>
          <w:sz w:val="20"/>
          <w:szCs w:val="20"/>
        </w:rPr>
        <w:t>.</w:t>
      </w:r>
    </w:p>
    <w:p w:rsidR="00625EFF" w:rsidRPr="000A1B78" w:rsidRDefault="00625EFF" w:rsidP="006E3C1E">
      <w:pPr>
        <w:jc w:val="both"/>
        <w:rPr>
          <w:rFonts w:cstheme="minorHAnsi"/>
          <w:sz w:val="20"/>
          <w:szCs w:val="20"/>
        </w:rPr>
      </w:pPr>
    </w:p>
    <w:p w:rsidR="001920F9" w:rsidRPr="000A1B78" w:rsidRDefault="00FB71CA" w:rsidP="00C560F9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noProof/>
          <w:lang w:eastAsia="es-CO"/>
        </w:rPr>
        <w:lastRenderedPageBreak/>
        <w:drawing>
          <wp:inline distT="0" distB="0" distL="0" distR="0" wp14:anchorId="7FBA29FB" wp14:editId="1A706292">
            <wp:extent cx="5941060" cy="2657475"/>
            <wp:effectExtent l="0" t="0" r="2540" b="9525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A643E" w:rsidRDefault="009A728C" w:rsidP="00C560F9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De acuerdo con los resultados se observa que en el programa de Ingeniería Agronómica obtuvo el mayor promedio en el área de </w:t>
      </w:r>
      <w:r w:rsidR="00715640">
        <w:rPr>
          <w:rFonts w:cstheme="minorHAnsi"/>
          <w:sz w:val="20"/>
          <w:szCs w:val="20"/>
        </w:rPr>
        <w:t>competencias ciudadanas con 51</w:t>
      </w:r>
      <w:r w:rsidRPr="000A1B78">
        <w:rPr>
          <w:rFonts w:cstheme="minorHAnsi"/>
          <w:sz w:val="20"/>
          <w:szCs w:val="20"/>
        </w:rPr>
        <w:t>,</w:t>
      </w:r>
      <w:r w:rsidR="00715640">
        <w:rPr>
          <w:rFonts w:cstheme="minorHAnsi"/>
          <w:sz w:val="20"/>
          <w:szCs w:val="20"/>
        </w:rPr>
        <w:t>6</w:t>
      </w:r>
      <w:r w:rsidRPr="000A1B78">
        <w:rPr>
          <w:rFonts w:cstheme="minorHAnsi"/>
          <w:sz w:val="20"/>
          <w:szCs w:val="20"/>
        </w:rPr>
        <w:t xml:space="preserve"> </w:t>
      </w:r>
      <w:r w:rsidR="00DA1254" w:rsidRPr="000A1B78">
        <w:rPr>
          <w:rFonts w:cstheme="minorHAnsi"/>
          <w:sz w:val="20"/>
          <w:szCs w:val="20"/>
        </w:rPr>
        <w:t>siendo una</w:t>
      </w:r>
      <w:r w:rsidRPr="000A1B78">
        <w:rPr>
          <w:rFonts w:cstheme="minorHAnsi"/>
          <w:sz w:val="20"/>
          <w:szCs w:val="20"/>
        </w:rPr>
        <w:t xml:space="preserve"> fortaleza </w:t>
      </w:r>
      <w:r w:rsidR="00625EFF" w:rsidRPr="000A1B78">
        <w:rPr>
          <w:rFonts w:cstheme="minorHAnsi"/>
          <w:sz w:val="20"/>
          <w:szCs w:val="20"/>
        </w:rPr>
        <w:t xml:space="preserve">para </w:t>
      </w:r>
      <w:r w:rsidRPr="000A1B78">
        <w:rPr>
          <w:rFonts w:cstheme="minorHAnsi"/>
          <w:sz w:val="20"/>
          <w:szCs w:val="20"/>
        </w:rPr>
        <w:t xml:space="preserve">el pensamiento lógico, sin </w:t>
      </w:r>
      <w:r w:rsidR="00625EFF" w:rsidRPr="000A1B78">
        <w:rPr>
          <w:rFonts w:cstheme="minorHAnsi"/>
          <w:sz w:val="20"/>
          <w:szCs w:val="20"/>
        </w:rPr>
        <w:t>embargo,</w:t>
      </w:r>
      <w:r w:rsidRPr="000A1B78">
        <w:rPr>
          <w:rFonts w:cstheme="minorHAnsi"/>
          <w:sz w:val="20"/>
          <w:szCs w:val="20"/>
        </w:rPr>
        <w:t xml:space="preserve"> se evidencia que en el área de Lectura Crítica con </w:t>
      </w:r>
      <w:r w:rsidR="00715640">
        <w:rPr>
          <w:rFonts w:cstheme="minorHAnsi"/>
          <w:sz w:val="20"/>
          <w:szCs w:val="20"/>
        </w:rPr>
        <w:t>48,3</w:t>
      </w:r>
      <w:r w:rsidR="00625EFF" w:rsidRPr="000A1B78">
        <w:rPr>
          <w:rFonts w:cstheme="minorHAnsi"/>
          <w:sz w:val="20"/>
          <w:szCs w:val="20"/>
        </w:rPr>
        <w:t xml:space="preserve"> </w:t>
      </w:r>
      <w:r w:rsidRPr="000A1B78">
        <w:rPr>
          <w:rFonts w:cstheme="minorHAnsi"/>
          <w:sz w:val="20"/>
          <w:szCs w:val="20"/>
        </w:rPr>
        <w:t xml:space="preserve">es el promedio </w:t>
      </w:r>
      <w:r w:rsidR="00625EFF" w:rsidRPr="000A1B78">
        <w:rPr>
          <w:rFonts w:cstheme="minorHAnsi"/>
          <w:sz w:val="20"/>
          <w:szCs w:val="20"/>
        </w:rPr>
        <w:t xml:space="preserve">menor </w:t>
      </w:r>
      <w:r w:rsidRPr="000A1B78">
        <w:rPr>
          <w:rFonts w:cstheme="minorHAnsi"/>
          <w:sz w:val="20"/>
          <w:szCs w:val="20"/>
        </w:rPr>
        <w:t>aspecto que se debe reforzar en las diferentes asignaturas con el fin de lograr una mayor comprensión lectora, argumentación y comunicación verbal y escrita.</w:t>
      </w:r>
    </w:p>
    <w:p w:rsidR="00715640" w:rsidRPr="00715640" w:rsidRDefault="00715640" w:rsidP="00C560F9">
      <w:pPr>
        <w:jc w:val="both"/>
        <w:rPr>
          <w:rFonts w:cstheme="minorHAnsi"/>
          <w:sz w:val="20"/>
          <w:szCs w:val="20"/>
        </w:rPr>
      </w:pPr>
    </w:p>
    <w:p w:rsidR="001920F9" w:rsidRPr="000A1B78" w:rsidRDefault="00FB71CA" w:rsidP="00C560F9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noProof/>
          <w:lang w:eastAsia="es-CO"/>
        </w:rPr>
        <w:drawing>
          <wp:inline distT="0" distB="0" distL="0" distR="0" wp14:anchorId="038FB221" wp14:editId="1EB2B189">
            <wp:extent cx="5941060" cy="2838450"/>
            <wp:effectExtent l="0" t="0" r="254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E13D1" w:rsidRPr="000A1B78" w:rsidRDefault="00BE13D1" w:rsidP="00BE13D1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>En la gráfica se evidencia que el promedio más al</w:t>
      </w:r>
      <w:r w:rsidR="00DA1254" w:rsidRPr="000A1B78">
        <w:rPr>
          <w:rFonts w:cstheme="minorHAnsi"/>
          <w:sz w:val="20"/>
          <w:szCs w:val="20"/>
        </w:rPr>
        <w:t xml:space="preserve">to en el programa de Ingeniería Comercial </w:t>
      </w:r>
      <w:r w:rsidRPr="000A1B78">
        <w:rPr>
          <w:rFonts w:cstheme="minorHAnsi"/>
          <w:sz w:val="20"/>
          <w:szCs w:val="20"/>
        </w:rPr>
        <w:t>es Matemáticas con 5</w:t>
      </w:r>
      <w:r w:rsidR="004F149A" w:rsidRPr="000A1B78">
        <w:rPr>
          <w:rFonts w:cstheme="minorHAnsi"/>
          <w:sz w:val="20"/>
          <w:szCs w:val="20"/>
        </w:rPr>
        <w:t>6</w:t>
      </w:r>
      <w:r w:rsidRPr="000A1B78">
        <w:rPr>
          <w:rFonts w:cstheme="minorHAnsi"/>
          <w:sz w:val="20"/>
          <w:szCs w:val="20"/>
        </w:rPr>
        <w:t>,</w:t>
      </w:r>
      <w:r w:rsidR="005E1874">
        <w:rPr>
          <w:rFonts w:cstheme="minorHAnsi"/>
          <w:sz w:val="20"/>
          <w:szCs w:val="20"/>
        </w:rPr>
        <w:t>7</w:t>
      </w:r>
      <w:r w:rsidRPr="000A1B78">
        <w:rPr>
          <w:rFonts w:cstheme="minorHAnsi"/>
          <w:sz w:val="20"/>
          <w:szCs w:val="20"/>
        </w:rPr>
        <w:t xml:space="preserve"> aspecto que resulta una fortaleza en el desempeño académico, sin </w:t>
      </w:r>
      <w:r w:rsidR="004F149A" w:rsidRPr="000A1B78">
        <w:rPr>
          <w:rFonts w:cstheme="minorHAnsi"/>
          <w:sz w:val="20"/>
          <w:szCs w:val="20"/>
        </w:rPr>
        <w:t>embargo,</w:t>
      </w:r>
      <w:r w:rsidRPr="000A1B78">
        <w:rPr>
          <w:rFonts w:cstheme="minorHAnsi"/>
          <w:sz w:val="20"/>
          <w:szCs w:val="20"/>
        </w:rPr>
        <w:t xml:space="preserve"> se observa que el área del conocimiento con menor promedio es </w:t>
      </w:r>
      <w:r w:rsidR="0087486A">
        <w:rPr>
          <w:rFonts w:cstheme="minorHAnsi"/>
          <w:sz w:val="20"/>
          <w:szCs w:val="20"/>
        </w:rPr>
        <w:t>ingles</w:t>
      </w:r>
      <w:r w:rsidR="004F149A" w:rsidRPr="000A1B78">
        <w:rPr>
          <w:rFonts w:cstheme="minorHAnsi"/>
          <w:sz w:val="20"/>
          <w:szCs w:val="20"/>
        </w:rPr>
        <w:t xml:space="preserve"> con</w:t>
      </w:r>
      <w:r w:rsidRPr="000A1B78">
        <w:rPr>
          <w:rFonts w:cstheme="minorHAnsi"/>
          <w:sz w:val="20"/>
          <w:szCs w:val="20"/>
        </w:rPr>
        <w:t xml:space="preserve"> </w:t>
      </w:r>
      <w:r w:rsidR="0087486A">
        <w:rPr>
          <w:rFonts w:cstheme="minorHAnsi"/>
          <w:sz w:val="20"/>
          <w:szCs w:val="20"/>
        </w:rPr>
        <w:t>50,6</w:t>
      </w:r>
      <w:r w:rsidRPr="000A1B78">
        <w:rPr>
          <w:rFonts w:cstheme="minorHAnsi"/>
          <w:sz w:val="20"/>
          <w:szCs w:val="20"/>
        </w:rPr>
        <w:t xml:space="preserve"> </w:t>
      </w:r>
      <w:r w:rsidR="00D32947" w:rsidRPr="000A1B78">
        <w:rPr>
          <w:rFonts w:cstheme="minorHAnsi"/>
          <w:sz w:val="20"/>
          <w:szCs w:val="20"/>
        </w:rPr>
        <w:t xml:space="preserve">se recomienda </w:t>
      </w:r>
      <w:r w:rsidRPr="000A1B78">
        <w:rPr>
          <w:rFonts w:cstheme="minorHAnsi"/>
          <w:sz w:val="20"/>
          <w:szCs w:val="20"/>
        </w:rPr>
        <w:t>reforza</w:t>
      </w:r>
      <w:r w:rsidR="00D32947" w:rsidRPr="000A1B78">
        <w:rPr>
          <w:rFonts w:cstheme="minorHAnsi"/>
          <w:sz w:val="20"/>
          <w:szCs w:val="20"/>
        </w:rPr>
        <w:t>r</w:t>
      </w:r>
      <w:r w:rsidRPr="000A1B78">
        <w:rPr>
          <w:rFonts w:cstheme="minorHAnsi"/>
          <w:sz w:val="20"/>
          <w:szCs w:val="20"/>
        </w:rPr>
        <w:t xml:space="preserve"> en las asignaturas relacionadas. </w:t>
      </w:r>
    </w:p>
    <w:p w:rsidR="001920F9" w:rsidRPr="000A1B78" w:rsidRDefault="00FB71CA" w:rsidP="00C560F9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noProof/>
          <w:lang w:eastAsia="es-CO"/>
        </w:rPr>
        <w:lastRenderedPageBreak/>
        <w:drawing>
          <wp:inline distT="0" distB="0" distL="0" distR="0" wp14:anchorId="730CE2A9" wp14:editId="4CCB03B1">
            <wp:extent cx="5941060" cy="2894330"/>
            <wp:effectExtent l="0" t="0" r="2540" b="127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81078" w:rsidRPr="000A1B78" w:rsidRDefault="00781078" w:rsidP="00781078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De acuerdo con los resultados se evidencia que en el programa de Ingeniería Geográfica el promedio más alto fue </w:t>
      </w:r>
      <w:r w:rsidR="00CD3BE3">
        <w:rPr>
          <w:rFonts w:cstheme="minorHAnsi"/>
          <w:sz w:val="20"/>
          <w:szCs w:val="20"/>
        </w:rPr>
        <w:t>ingles</w:t>
      </w:r>
      <w:r w:rsidRPr="000A1B78">
        <w:rPr>
          <w:rFonts w:cstheme="minorHAnsi"/>
          <w:sz w:val="20"/>
          <w:szCs w:val="20"/>
        </w:rPr>
        <w:t xml:space="preserve"> con</w:t>
      </w:r>
      <w:r w:rsidR="00CD3BE3">
        <w:rPr>
          <w:rFonts w:cstheme="minorHAnsi"/>
          <w:sz w:val="20"/>
          <w:szCs w:val="20"/>
        </w:rPr>
        <w:t xml:space="preserve"> 57</w:t>
      </w:r>
      <w:r w:rsidRPr="000A1B78">
        <w:rPr>
          <w:rFonts w:cstheme="minorHAnsi"/>
          <w:sz w:val="20"/>
          <w:szCs w:val="20"/>
        </w:rPr>
        <w:t>,</w:t>
      </w:r>
      <w:r w:rsidR="00914532" w:rsidRPr="000A1B78">
        <w:rPr>
          <w:rFonts w:cstheme="minorHAnsi"/>
          <w:sz w:val="20"/>
          <w:szCs w:val="20"/>
        </w:rPr>
        <w:t>4</w:t>
      </w:r>
      <w:r w:rsidRPr="000A1B78">
        <w:rPr>
          <w:rFonts w:cstheme="minorHAnsi"/>
          <w:sz w:val="20"/>
          <w:szCs w:val="20"/>
        </w:rPr>
        <w:t xml:space="preserve"> siendo una fortaleza</w:t>
      </w:r>
      <w:r w:rsidR="00C405B1" w:rsidRPr="000A1B78">
        <w:rPr>
          <w:rFonts w:cstheme="minorHAnsi"/>
          <w:sz w:val="20"/>
          <w:szCs w:val="20"/>
        </w:rPr>
        <w:t xml:space="preserve"> en el desempeño académico, sin embargo, </w:t>
      </w:r>
      <w:r w:rsidRPr="000A1B78">
        <w:rPr>
          <w:rFonts w:cstheme="minorHAnsi"/>
          <w:sz w:val="20"/>
          <w:szCs w:val="20"/>
        </w:rPr>
        <w:t xml:space="preserve">el promedio </w:t>
      </w:r>
      <w:r w:rsidR="00914532" w:rsidRPr="000A1B78">
        <w:rPr>
          <w:rFonts w:cstheme="minorHAnsi"/>
          <w:sz w:val="20"/>
          <w:szCs w:val="20"/>
        </w:rPr>
        <w:t xml:space="preserve">menor </w:t>
      </w:r>
      <w:r w:rsidRPr="000A1B78">
        <w:rPr>
          <w:rFonts w:cstheme="minorHAnsi"/>
          <w:sz w:val="20"/>
          <w:szCs w:val="20"/>
        </w:rPr>
        <w:t xml:space="preserve">es </w:t>
      </w:r>
      <w:r w:rsidR="00CD3BE3">
        <w:rPr>
          <w:rFonts w:cstheme="minorHAnsi"/>
          <w:sz w:val="20"/>
          <w:szCs w:val="20"/>
        </w:rPr>
        <w:t xml:space="preserve">lectura crítica con </w:t>
      </w:r>
      <w:r w:rsidRPr="000A1B78">
        <w:rPr>
          <w:rFonts w:cstheme="minorHAnsi"/>
          <w:sz w:val="20"/>
          <w:szCs w:val="20"/>
        </w:rPr>
        <w:t>5</w:t>
      </w:r>
      <w:r w:rsidR="00CD3BE3">
        <w:rPr>
          <w:rFonts w:cstheme="minorHAnsi"/>
          <w:sz w:val="20"/>
          <w:szCs w:val="20"/>
        </w:rPr>
        <w:t>2,7</w:t>
      </w:r>
      <w:r w:rsidRPr="000A1B78">
        <w:rPr>
          <w:rFonts w:cstheme="minorHAnsi"/>
          <w:sz w:val="20"/>
          <w:szCs w:val="20"/>
        </w:rPr>
        <w:t xml:space="preserve"> área del conocimiento la cual requiere de refuerzo</w:t>
      </w:r>
      <w:r w:rsidR="00914532" w:rsidRPr="000A1B78">
        <w:rPr>
          <w:rFonts w:cstheme="minorHAnsi"/>
          <w:sz w:val="20"/>
          <w:szCs w:val="20"/>
        </w:rPr>
        <w:t xml:space="preserve"> para una mejor comprensión y aplicación en las diferentes áreas relacionadas.</w:t>
      </w:r>
      <w:r w:rsidRPr="000A1B78">
        <w:rPr>
          <w:rFonts w:cstheme="minorHAnsi"/>
          <w:sz w:val="20"/>
          <w:szCs w:val="20"/>
        </w:rPr>
        <w:t xml:space="preserve"> </w:t>
      </w:r>
    </w:p>
    <w:p w:rsidR="00914532" w:rsidRPr="000A1B78" w:rsidRDefault="00914532" w:rsidP="00781078">
      <w:pPr>
        <w:jc w:val="both"/>
        <w:rPr>
          <w:rFonts w:cstheme="minorHAnsi"/>
          <w:sz w:val="20"/>
          <w:szCs w:val="20"/>
        </w:rPr>
      </w:pPr>
    </w:p>
    <w:p w:rsidR="001920F9" w:rsidRPr="000A1B78" w:rsidRDefault="00FB71CA" w:rsidP="00C560F9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noProof/>
          <w:lang w:eastAsia="es-CO"/>
        </w:rPr>
        <w:drawing>
          <wp:inline distT="0" distB="0" distL="0" distR="0" wp14:anchorId="0848A1A7" wp14:editId="38F6D13E">
            <wp:extent cx="5941060" cy="2724785"/>
            <wp:effectExtent l="0" t="0" r="2540" b="18415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920F9" w:rsidRPr="000A1B78" w:rsidRDefault="007C2623" w:rsidP="00C560F9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sz w:val="20"/>
          <w:szCs w:val="20"/>
        </w:rPr>
        <w:t>La grá</w:t>
      </w:r>
      <w:r w:rsidR="00A16E46" w:rsidRPr="000A1B78">
        <w:rPr>
          <w:rFonts w:cstheme="minorHAnsi"/>
          <w:sz w:val="20"/>
          <w:szCs w:val="20"/>
        </w:rPr>
        <w:t xml:space="preserve">fica evidencia que en el grupo del programa de Derecho el área del conocimiento </w:t>
      </w:r>
      <w:r>
        <w:rPr>
          <w:rFonts w:cstheme="minorHAnsi"/>
          <w:sz w:val="20"/>
          <w:szCs w:val="20"/>
        </w:rPr>
        <w:t>con mayor promedio fue</w:t>
      </w:r>
      <w:r w:rsidR="00A16E46" w:rsidRPr="000A1B7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lectura crítica con el</w:t>
      </w:r>
      <w:r w:rsidR="00A16E46" w:rsidRPr="000A1B78">
        <w:rPr>
          <w:rFonts w:cstheme="minorHAnsi"/>
          <w:sz w:val="20"/>
          <w:szCs w:val="20"/>
        </w:rPr>
        <w:t xml:space="preserve"> 5</w:t>
      </w:r>
      <w:r w:rsidR="0046221B" w:rsidRPr="000A1B78">
        <w:rPr>
          <w:rFonts w:cstheme="minorHAnsi"/>
          <w:sz w:val="20"/>
          <w:szCs w:val="20"/>
        </w:rPr>
        <w:t>1</w:t>
      </w:r>
      <w:r w:rsidR="00A16E46" w:rsidRPr="000A1B78">
        <w:rPr>
          <w:rFonts w:cstheme="minorHAnsi"/>
          <w:sz w:val="20"/>
          <w:szCs w:val="20"/>
        </w:rPr>
        <w:t xml:space="preserve">,7 siendo una fortaleza para las competencias de profesionalización; </w:t>
      </w:r>
      <w:r w:rsidR="00B6655E" w:rsidRPr="000A1B78">
        <w:rPr>
          <w:rFonts w:cstheme="minorHAnsi"/>
          <w:sz w:val="20"/>
          <w:szCs w:val="20"/>
        </w:rPr>
        <w:t xml:space="preserve">sin </w:t>
      </w:r>
      <w:r w:rsidR="00C405B1" w:rsidRPr="000A1B78">
        <w:rPr>
          <w:rFonts w:cstheme="minorHAnsi"/>
          <w:sz w:val="20"/>
          <w:szCs w:val="20"/>
        </w:rPr>
        <w:t>embargo,</w:t>
      </w:r>
      <w:r w:rsidR="00B6655E" w:rsidRPr="000A1B78">
        <w:rPr>
          <w:rFonts w:cstheme="minorHAnsi"/>
          <w:sz w:val="20"/>
          <w:szCs w:val="20"/>
        </w:rPr>
        <w:t xml:space="preserve"> se observa que en el área </w:t>
      </w:r>
      <w:r>
        <w:rPr>
          <w:rFonts w:cstheme="minorHAnsi"/>
          <w:sz w:val="20"/>
          <w:szCs w:val="20"/>
        </w:rPr>
        <w:t>de ingles</w:t>
      </w:r>
      <w:r w:rsidR="0046221B" w:rsidRPr="000A1B78">
        <w:rPr>
          <w:rFonts w:cstheme="minorHAnsi"/>
          <w:sz w:val="20"/>
          <w:szCs w:val="20"/>
        </w:rPr>
        <w:t xml:space="preserve"> </w:t>
      </w:r>
      <w:r w:rsidR="00B6655E" w:rsidRPr="000A1B78">
        <w:rPr>
          <w:rFonts w:cstheme="minorHAnsi"/>
          <w:sz w:val="20"/>
          <w:szCs w:val="20"/>
        </w:rPr>
        <w:t>el promedio fue de 4</w:t>
      </w:r>
      <w:r w:rsidR="00C754FD">
        <w:rPr>
          <w:rFonts w:cstheme="minorHAnsi"/>
          <w:sz w:val="20"/>
          <w:szCs w:val="20"/>
        </w:rPr>
        <w:t>6</w:t>
      </w:r>
      <w:r w:rsidR="00B6655E" w:rsidRPr="000A1B78">
        <w:rPr>
          <w:rFonts w:cstheme="minorHAnsi"/>
          <w:sz w:val="20"/>
          <w:szCs w:val="20"/>
        </w:rPr>
        <w:t>,</w:t>
      </w:r>
      <w:r w:rsidR="00C754FD">
        <w:rPr>
          <w:rFonts w:cstheme="minorHAnsi"/>
          <w:sz w:val="20"/>
          <w:szCs w:val="20"/>
        </w:rPr>
        <w:t>3</w:t>
      </w:r>
      <w:r w:rsidR="00B6655E" w:rsidRPr="000A1B78">
        <w:rPr>
          <w:rFonts w:cstheme="minorHAnsi"/>
          <w:sz w:val="20"/>
          <w:szCs w:val="20"/>
        </w:rPr>
        <w:t xml:space="preserve"> aspecto que debe ser reforzado desde las diferentes asignaturas</w:t>
      </w:r>
      <w:r w:rsidR="00C754FD">
        <w:rPr>
          <w:rFonts w:cstheme="minorHAnsi"/>
          <w:sz w:val="20"/>
          <w:szCs w:val="20"/>
        </w:rPr>
        <w:t>.</w:t>
      </w:r>
      <w:r w:rsidR="00B6655E" w:rsidRPr="000A1B78">
        <w:rPr>
          <w:rFonts w:cstheme="minorHAnsi"/>
          <w:sz w:val="20"/>
          <w:szCs w:val="20"/>
        </w:rPr>
        <w:t xml:space="preserve"> </w:t>
      </w:r>
    </w:p>
    <w:p w:rsidR="001920F9" w:rsidRPr="000A1B78" w:rsidRDefault="00FB71CA" w:rsidP="00C560F9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noProof/>
          <w:lang w:eastAsia="es-CO"/>
        </w:rPr>
        <w:lastRenderedPageBreak/>
        <w:drawing>
          <wp:inline distT="0" distB="0" distL="0" distR="0" wp14:anchorId="26D14A2F" wp14:editId="25177574">
            <wp:extent cx="5941060" cy="2694305"/>
            <wp:effectExtent l="0" t="0" r="2540" b="10795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95310" w:rsidRPr="000A1B78" w:rsidRDefault="00D95310" w:rsidP="00D95310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De acuerdo con los resultados se evidencia que el programa de Negocios Internacionales el mayor promedio </w:t>
      </w:r>
      <w:r w:rsidR="0035496F">
        <w:rPr>
          <w:rFonts w:cstheme="minorHAnsi"/>
          <w:sz w:val="20"/>
          <w:szCs w:val="20"/>
        </w:rPr>
        <w:t xml:space="preserve">obtenido fue en el área de ingles </w:t>
      </w:r>
      <w:r w:rsidRPr="000A1B78">
        <w:rPr>
          <w:rFonts w:cstheme="minorHAnsi"/>
          <w:sz w:val="20"/>
          <w:szCs w:val="20"/>
        </w:rPr>
        <w:t>con 5</w:t>
      </w:r>
      <w:r w:rsidR="0035496F">
        <w:rPr>
          <w:rFonts w:cstheme="minorHAnsi"/>
          <w:sz w:val="20"/>
          <w:szCs w:val="20"/>
        </w:rPr>
        <w:t>2</w:t>
      </w:r>
      <w:r w:rsidRPr="000A1B78">
        <w:rPr>
          <w:rFonts w:cstheme="minorHAnsi"/>
          <w:sz w:val="20"/>
          <w:szCs w:val="20"/>
        </w:rPr>
        <w:t>,</w:t>
      </w:r>
      <w:r w:rsidR="0035496F">
        <w:rPr>
          <w:rFonts w:cstheme="minorHAnsi"/>
          <w:sz w:val="20"/>
          <w:szCs w:val="20"/>
        </w:rPr>
        <w:t>6</w:t>
      </w:r>
      <w:r w:rsidRPr="000A1B78">
        <w:rPr>
          <w:rFonts w:cstheme="minorHAnsi"/>
          <w:sz w:val="20"/>
          <w:szCs w:val="20"/>
        </w:rPr>
        <w:t xml:space="preserve"> aspecto que resulta una fortaleza en el desempeño académico, sin </w:t>
      </w:r>
      <w:r w:rsidR="007F3B00" w:rsidRPr="000A1B78">
        <w:rPr>
          <w:rFonts w:cstheme="minorHAnsi"/>
          <w:sz w:val="20"/>
          <w:szCs w:val="20"/>
        </w:rPr>
        <w:t>embargo,</w:t>
      </w:r>
      <w:r w:rsidRPr="000A1B78">
        <w:rPr>
          <w:rFonts w:cstheme="minorHAnsi"/>
          <w:sz w:val="20"/>
          <w:szCs w:val="20"/>
        </w:rPr>
        <w:t xml:space="preserve"> en el área de </w:t>
      </w:r>
      <w:r w:rsidR="007F3B00" w:rsidRPr="000A1B78">
        <w:rPr>
          <w:rFonts w:cstheme="minorHAnsi"/>
          <w:sz w:val="20"/>
          <w:szCs w:val="20"/>
        </w:rPr>
        <w:t>ciencias naturales</w:t>
      </w:r>
      <w:r w:rsidR="00D954B5">
        <w:rPr>
          <w:rFonts w:cstheme="minorHAnsi"/>
          <w:sz w:val="20"/>
          <w:szCs w:val="20"/>
        </w:rPr>
        <w:t xml:space="preserve"> 48,4</w:t>
      </w:r>
      <w:r w:rsidR="007F3B00" w:rsidRPr="000A1B78">
        <w:rPr>
          <w:rFonts w:cstheme="minorHAnsi"/>
          <w:sz w:val="20"/>
          <w:szCs w:val="20"/>
        </w:rPr>
        <w:t xml:space="preserve">; </w:t>
      </w:r>
      <w:r w:rsidRPr="000A1B78">
        <w:rPr>
          <w:rFonts w:cstheme="minorHAnsi"/>
          <w:sz w:val="20"/>
          <w:szCs w:val="20"/>
        </w:rPr>
        <w:t>se obtuvo el menor promedio razón por la que se sugiere reforzar el área en mención mediante tutorías grupales.</w:t>
      </w:r>
    </w:p>
    <w:p w:rsidR="001920F9" w:rsidRPr="000A1B78" w:rsidRDefault="001920F9" w:rsidP="00C560F9">
      <w:pPr>
        <w:jc w:val="both"/>
        <w:rPr>
          <w:rFonts w:cstheme="minorHAnsi"/>
          <w:sz w:val="20"/>
          <w:szCs w:val="20"/>
          <w:highlight w:val="yellow"/>
        </w:rPr>
      </w:pPr>
    </w:p>
    <w:p w:rsidR="001920F9" w:rsidRPr="000A1B78" w:rsidRDefault="00FB71CA" w:rsidP="00C560F9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noProof/>
          <w:lang w:eastAsia="es-CO"/>
        </w:rPr>
        <w:drawing>
          <wp:inline distT="0" distB="0" distL="0" distR="0" wp14:anchorId="67CA7570" wp14:editId="44B90E9F">
            <wp:extent cx="5941060" cy="2733040"/>
            <wp:effectExtent l="0" t="0" r="2540" b="1016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82985" w:rsidRPr="000A1B78" w:rsidRDefault="00D7375F" w:rsidP="00282985">
      <w:pPr>
        <w:ind w:right="-51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grá</w:t>
      </w:r>
      <w:r w:rsidR="00282985" w:rsidRPr="000A1B78">
        <w:rPr>
          <w:rFonts w:cstheme="minorHAnsi"/>
          <w:sz w:val="20"/>
          <w:szCs w:val="20"/>
        </w:rPr>
        <w:t xml:space="preserve">fica indica que en el programa de Administración el área con mayor promedio fue </w:t>
      </w:r>
      <w:r w:rsidR="007F3B00" w:rsidRPr="000A1B78">
        <w:rPr>
          <w:rFonts w:cstheme="minorHAnsi"/>
          <w:sz w:val="20"/>
          <w:szCs w:val="20"/>
        </w:rPr>
        <w:t xml:space="preserve">ingles </w:t>
      </w:r>
      <w:r w:rsidR="00282985" w:rsidRPr="000A1B78">
        <w:rPr>
          <w:rFonts w:cstheme="minorHAnsi"/>
          <w:sz w:val="20"/>
          <w:szCs w:val="20"/>
        </w:rPr>
        <w:t xml:space="preserve">con </w:t>
      </w:r>
      <w:r>
        <w:rPr>
          <w:rFonts w:cstheme="minorHAnsi"/>
          <w:sz w:val="20"/>
          <w:szCs w:val="20"/>
        </w:rPr>
        <w:t>52,7</w:t>
      </w:r>
      <w:r w:rsidR="007F3B00" w:rsidRPr="000A1B78">
        <w:rPr>
          <w:rFonts w:cstheme="minorHAnsi"/>
          <w:sz w:val="20"/>
          <w:szCs w:val="20"/>
        </w:rPr>
        <w:t xml:space="preserve"> </w:t>
      </w:r>
      <w:r w:rsidR="00282985" w:rsidRPr="000A1B78">
        <w:rPr>
          <w:rFonts w:cstheme="minorHAnsi"/>
          <w:sz w:val="20"/>
          <w:szCs w:val="20"/>
        </w:rPr>
        <w:t xml:space="preserve">y con menor promedio el área de </w:t>
      </w:r>
      <w:r>
        <w:rPr>
          <w:rFonts w:cstheme="minorHAnsi"/>
          <w:sz w:val="20"/>
          <w:szCs w:val="20"/>
        </w:rPr>
        <w:t>lectura crítica</w:t>
      </w:r>
      <w:r w:rsidR="007F3B00" w:rsidRPr="000A1B7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con 47</w:t>
      </w:r>
      <w:r w:rsidR="00282985" w:rsidRPr="000A1B78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>7</w:t>
      </w:r>
      <w:r w:rsidR="00282985" w:rsidRPr="000A1B78">
        <w:rPr>
          <w:rFonts w:cstheme="minorHAnsi"/>
          <w:sz w:val="20"/>
          <w:szCs w:val="20"/>
        </w:rPr>
        <w:t xml:space="preserve"> aspectos que se recomienda reforzar </w:t>
      </w:r>
      <w:r w:rsidR="007F3B00" w:rsidRPr="000A1B78">
        <w:rPr>
          <w:rFonts w:cstheme="minorHAnsi"/>
          <w:sz w:val="20"/>
          <w:szCs w:val="20"/>
        </w:rPr>
        <w:t>mediante metodologías pedagógicas, didácticas y motivacionales que permitan una mayor apropiación del conocimiento en mención.</w:t>
      </w:r>
    </w:p>
    <w:p w:rsidR="00DA643E" w:rsidRDefault="00DA643E" w:rsidP="00C560F9">
      <w:pPr>
        <w:jc w:val="both"/>
        <w:rPr>
          <w:rFonts w:cstheme="minorHAnsi"/>
          <w:sz w:val="20"/>
          <w:szCs w:val="20"/>
          <w:highlight w:val="yellow"/>
        </w:rPr>
      </w:pPr>
    </w:p>
    <w:p w:rsidR="004E0B16" w:rsidRDefault="004E0B16" w:rsidP="00C560F9">
      <w:pPr>
        <w:jc w:val="both"/>
        <w:rPr>
          <w:rFonts w:cstheme="minorHAnsi"/>
          <w:sz w:val="20"/>
          <w:szCs w:val="20"/>
          <w:highlight w:val="yellow"/>
        </w:rPr>
      </w:pPr>
    </w:p>
    <w:p w:rsidR="004E0B16" w:rsidRDefault="004E0B16" w:rsidP="00C560F9">
      <w:pPr>
        <w:jc w:val="both"/>
        <w:rPr>
          <w:rFonts w:cstheme="minorHAnsi"/>
          <w:sz w:val="20"/>
          <w:szCs w:val="20"/>
          <w:highlight w:val="yellow"/>
        </w:rPr>
      </w:pPr>
    </w:p>
    <w:p w:rsidR="004E0B16" w:rsidRDefault="00E42BFF" w:rsidP="00C560F9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noProof/>
          <w:lang w:eastAsia="es-CO"/>
        </w:rPr>
        <w:lastRenderedPageBreak/>
        <w:drawing>
          <wp:inline distT="0" distB="0" distL="0" distR="0" wp14:anchorId="2D341D4B" wp14:editId="06C7617E">
            <wp:extent cx="5941060" cy="2524125"/>
            <wp:effectExtent l="0" t="0" r="2540" b="9525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E0B16" w:rsidRDefault="004E0B16" w:rsidP="00C560F9">
      <w:pPr>
        <w:jc w:val="both"/>
        <w:rPr>
          <w:rFonts w:cstheme="minorHAnsi"/>
          <w:sz w:val="20"/>
          <w:szCs w:val="20"/>
          <w:highlight w:val="yellow"/>
        </w:rPr>
      </w:pPr>
    </w:p>
    <w:p w:rsidR="00543981" w:rsidRPr="000A1B78" w:rsidRDefault="00543981" w:rsidP="00543981">
      <w:pPr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De acuerdo con los resultados se evidencia que el programa de </w:t>
      </w:r>
      <w:r>
        <w:rPr>
          <w:rFonts w:cstheme="minorHAnsi"/>
          <w:sz w:val="20"/>
          <w:szCs w:val="20"/>
        </w:rPr>
        <w:t>Licenciatura en Ciencias Naturales</w:t>
      </w:r>
      <w:r w:rsidRPr="000A1B78">
        <w:rPr>
          <w:rFonts w:cstheme="minorHAnsi"/>
          <w:sz w:val="20"/>
          <w:szCs w:val="20"/>
        </w:rPr>
        <w:t xml:space="preserve"> el mayor promedio </w:t>
      </w:r>
      <w:r>
        <w:rPr>
          <w:rFonts w:cstheme="minorHAnsi"/>
          <w:sz w:val="20"/>
          <w:szCs w:val="20"/>
        </w:rPr>
        <w:t xml:space="preserve">obtenido fue en el área de competencias ciudadanas </w:t>
      </w:r>
      <w:r w:rsidRPr="000A1B78">
        <w:rPr>
          <w:rFonts w:cstheme="minorHAnsi"/>
          <w:sz w:val="20"/>
          <w:szCs w:val="20"/>
        </w:rPr>
        <w:t>con 5</w:t>
      </w:r>
      <w:r>
        <w:rPr>
          <w:rFonts w:cstheme="minorHAnsi"/>
          <w:sz w:val="20"/>
          <w:szCs w:val="20"/>
        </w:rPr>
        <w:t>1</w:t>
      </w:r>
      <w:r w:rsidRPr="000A1B78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>4</w:t>
      </w:r>
      <w:r w:rsidRPr="000A1B78">
        <w:rPr>
          <w:rFonts w:cstheme="minorHAnsi"/>
          <w:sz w:val="20"/>
          <w:szCs w:val="20"/>
        </w:rPr>
        <w:t xml:space="preserve"> aspecto que resulta una fortaleza en el desempeño académico, sin embargo, en el área de ciencias naturales</w:t>
      </w:r>
      <w:r>
        <w:rPr>
          <w:rFonts w:cstheme="minorHAnsi"/>
          <w:sz w:val="20"/>
          <w:szCs w:val="20"/>
        </w:rPr>
        <w:t xml:space="preserve"> 45,6</w:t>
      </w:r>
      <w:r w:rsidRPr="000A1B78">
        <w:rPr>
          <w:rFonts w:cstheme="minorHAnsi"/>
          <w:sz w:val="20"/>
          <w:szCs w:val="20"/>
        </w:rPr>
        <w:t>; se obtuvo el menor promedio razón por la que se sugiere reforzar el área en mención mediante tutorías grupales.</w:t>
      </w:r>
    </w:p>
    <w:p w:rsidR="004E0B16" w:rsidRPr="000A1B78" w:rsidRDefault="004E0B16" w:rsidP="00C560F9">
      <w:pPr>
        <w:jc w:val="both"/>
        <w:rPr>
          <w:rFonts w:cstheme="minorHAnsi"/>
          <w:sz w:val="20"/>
          <w:szCs w:val="20"/>
          <w:highlight w:val="yellow"/>
        </w:rPr>
      </w:pPr>
    </w:p>
    <w:p w:rsidR="003707F0" w:rsidRPr="000A1B78" w:rsidRDefault="00E42BFF" w:rsidP="00C560F9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noProof/>
          <w:lang w:eastAsia="es-CO"/>
        </w:rPr>
        <w:drawing>
          <wp:inline distT="0" distB="0" distL="0" distR="0" wp14:anchorId="47844A33" wp14:editId="2B6732BF">
            <wp:extent cx="5941060" cy="2720340"/>
            <wp:effectExtent l="0" t="0" r="2540" b="381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44925" w:rsidRPr="000A1B78" w:rsidRDefault="0056254F" w:rsidP="00F44925">
      <w:pPr>
        <w:ind w:right="-518"/>
        <w:jc w:val="both"/>
        <w:rPr>
          <w:rFonts w:cstheme="minorHAnsi"/>
          <w:sz w:val="20"/>
          <w:szCs w:val="20"/>
        </w:rPr>
      </w:pPr>
      <w:r w:rsidRPr="000A1B78">
        <w:rPr>
          <w:rFonts w:cstheme="minorHAnsi"/>
          <w:sz w:val="20"/>
          <w:szCs w:val="20"/>
        </w:rPr>
        <w:t xml:space="preserve">Se evidencia en la gráfica que en el programa de Contaduría Pública el área del conocimiento con mayor promedio   fue </w:t>
      </w:r>
      <w:r w:rsidR="006466CE">
        <w:rPr>
          <w:rFonts w:cstheme="minorHAnsi"/>
          <w:sz w:val="20"/>
          <w:szCs w:val="20"/>
        </w:rPr>
        <w:t xml:space="preserve">ingles </w:t>
      </w:r>
      <w:r w:rsidR="00414B5E" w:rsidRPr="000A1B78">
        <w:rPr>
          <w:rFonts w:cstheme="minorHAnsi"/>
          <w:sz w:val="20"/>
          <w:szCs w:val="20"/>
        </w:rPr>
        <w:t>con</w:t>
      </w:r>
      <w:r w:rsidR="00AF2465" w:rsidRPr="000A1B78">
        <w:rPr>
          <w:rFonts w:cstheme="minorHAnsi"/>
          <w:sz w:val="20"/>
          <w:szCs w:val="20"/>
        </w:rPr>
        <w:t xml:space="preserve"> </w:t>
      </w:r>
      <w:r w:rsidR="006466CE">
        <w:rPr>
          <w:rFonts w:cstheme="minorHAnsi"/>
          <w:sz w:val="20"/>
          <w:szCs w:val="20"/>
        </w:rPr>
        <w:t>55</w:t>
      </w:r>
      <w:r w:rsidR="00F44925" w:rsidRPr="000A1B78">
        <w:rPr>
          <w:rFonts w:cstheme="minorHAnsi"/>
          <w:sz w:val="20"/>
          <w:szCs w:val="20"/>
        </w:rPr>
        <w:t xml:space="preserve"> </w:t>
      </w:r>
      <w:r w:rsidR="00AF2465" w:rsidRPr="000A1B78">
        <w:rPr>
          <w:rFonts w:cstheme="minorHAnsi"/>
          <w:sz w:val="20"/>
          <w:szCs w:val="20"/>
        </w:rPr>
        <w:t xml:space="preserve">y en menor promedio </w:t>
      </w:r>
      <w:r w:rsidRPr="000A1B78">
        <w:rPr>
          <w:rFonts w:cstheme="minorHAnsi"/>
          <w:sz w:val="20"/>
          <w:szCs w:val="20"/>
        </w:rPr>
        <w:t xml:space="preserve">el área de </w:t>
      </w:r>
      <w:r w:rsidR="006466CE">
        <w:rPr>
          <w:rFonts w:cstheme="minorHAnsi"/>
          <w:sz w:val="20"/>
          <w:szCs w:val="20"/>
        </w:rPr>
        <w:t xml:space="preserve">lectura crítica </w:t>
      </w:r>
      <w:r w:rsidRPr="000A1B78">
        <w:rPr>
          <w:rFonts w:cstheme="minorHAnsi"/>
          <w:sz w:val="20"/>
          <w:szCs w:val="20"/>
        </w:rPr>
        <w:t>4</w:t>
      </w:r>
      <w:r w:rsidR="006466CE">
        <w:rPr>
          <w:rFonts w:cstheme="minorHAnsi"/>
          <w:sz w:val="20"/>
          <w:szCs w:val="20"/>
        </w:rPr>
        <w:t>5</w:t>
      </w:r>
      <w:r w:rsidRPr="000A1B78">
        <w:rPr>
          <w:rFonts w:cstheme="minorHAnsi"/>
          <w:sz w:val="20"/>
          <w:szCs w:val="20"/>
        </w:rPr>
        <w:t>,</w:t>
      </w:r>
      <w:r w:rsidR="006466CE">
        <w:rPr>
          <w:rFonts w:cstheme="minorHAnsi"/>
          <w:sz w:val="20"/>
          <w:szCs w:val="20"/>
        </w:rPr>
        <w:t>6</w:t>
      </w:r>
      <w:r w:rsidRPr="000A1B78">
        <w:rPr>
          <w:rFonts w:cstheme="minorHAnsi"/>
          <w:sz w:val="20"/>
          <w:szCs w:val="20"/>
        </w:rPr>
        <w:t xml:space="preserve"> </w:t>
      </w:r>
      <w:r w:rsidR="00F44925" w:rsidRPr="000A1B78">
        <w:rPr>
          <w:rFonts w:cstheme="minorHAnsi"/>
          <w:sz w:val="20"/>
          <w:szCs w:val="20"/>
        </w:rPr>
        <w:t>aspectos que se recomienda reforzar mediante metodologías pedagógicas, didácticas y motivacionales que permitan una mayor apropiación del conocimiento en mención.</w:t>
      </w:r>
    </w:p>
    <w:p w:rsidR="003707F0" w:rsidRPr="000A1B78" w:rsidRDefault="003707F0" w:rsidP="00C560F9">
      <w:pPr>
        <w:jc w:val="both"/>
        <w:rPr>
          <w:rFonts w:cstheme="minorHAnsi"/>
          <w:sz w:val="20"/>
          <w:szCs w:val="20"/>
          <w:highlight w:val="yellow"/>
        </w:rPr>
      </w:pPr>
    </w:p>
    <w:sectPr w:rsidR="003707F0" w:rsidRPr="000A1B78" w:rsidSect="007D2BEF">
      <w:headerReference w:type="default" r:id="rId34"/>
      <w:footerReference w:type="default" r:id="rId35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B7" w:rsidRDefault="007302B7" w:rsidP="008262DF">
      <w:pPr>
        <w:spacing w:after="0" w:line="240" w:lineRule="auto"/>
      </w:pPr>
      <w:r>
        <w:separator/>
      </w:r>
    </w:p>
  </w:endnote>
  <w:endnote w:type="continuationSeparator" w:id="0">
    <w:p w:rsidR="007302B7" w:rsidRDefault="007302B7" w:rsidP="0082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4C" w:rsidRPr="0093514C" w:rsidRDefault="0093514C" w:rsidP="0093514C">
    <w:pPr>
      <w:pStyle w:val="Piedepgina"/>
      <w:jc w:val="both"/>
      <w:rPr>
        <w:sz w:val="24"/>
        <w:szCs w:val="24"/>
      </w:rPr>
    </w:pPr>
    <w:r w:rsidRPr="0093514C">
      <w:rPr>
        <w:i/>
        <w:sz w:val="16"/>
        <w:szCs w:val="16"/>
      </w:rPr>
      <w:t xml:space="preserve">LUZ MARLEN AGUILAR CHUATA </w:t>
    </w:r>
    <w:r w:rsidR="003F51CB" w:rsidRPr="0093514C">
      <w:rPr>
        <w:i/>
        <w:sz w:val="16"/>
        <w:szCs w:val="16"/>
      </w:rPr>
      <w:t>PSICÓLOGA</w:t>
    </w:r>
    <w:r w:rsidR="00F56091">
      <w:rPr>
        <w:i/>
        <w:sz w:val="16"/>
        <w:szCs w:val="16"/>
      </w:rPr>
      <w:t xml:space="preserve"> ESP. COORD. PPE</w:t>
    </w:r>
    <w:r>
      <w:tab/>
    </w:r>
    <w:r>
      <w:tab/>
      <w:t xml:space="preserve"> </w:t>
    </w:r>
    <w:sdt>
      <w:sdtPr>
        <w:id w:val="-689064622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93514C">
          <w:rPr>
            <w:sz w:val="24"/>
            <w:szCs w:val="24"/>
          </w:rPr>
          <w:fldChar w:fldCharType="begin"/>
        </w:r>
        <w:r w:rsidRPr="0093514C">
          <w:rPr>
            <w:sz w:val="24"/>
            <w:szCs w:val="24"/>
          </w:rPr>
          <w:instrText>PAGE   \* MERGEFORMAT</w:instrText>
        </w:r>
        <w:r w:rsidRPr="0093514C">
          <w:rPr>
            <w:sz w:val="24"/>
            <w:szCs w:val="24"/>
          </w:rPr>
          <w:fldChar w:fldCharType="separate"/>
        </w:r>
        <w:r w:rsidR="00AA2675" w:rsidRPr="00AA2675">
          <w:rPr>
            <w:noProof/>
            <w:sz w:val="24"/>
            <w:szCs w:val="24"/>
            <w:lang w:val="es-ES"/>
          </w:rPr>
          <w:t>2</w:t>
        </w:r>
        <w:r w:rsidRPr="0093514C">
          <w:rPr>
            <w:sz w:val="24"/>
            <w:szCs w:val="24"/>
          </w:rPr>
          <w:fldChar w:fldCharType="end"/>
        </w:r>
      </w:sdtContent>
    </w:sdt>
  </w:p>
  <w:p w:rsidR="0093514C" w:rsidRDefault="009351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B7" w:rsidRDefault="007302B7" w:rsidP="008262DF">
      <w:pPr>
        <w:spacing w:after="0" w:line="240" w:lineRule="auto"/>
      </w:pPr>
      <w:r>
        <w:separator/>
      </w:r>
    </w:p>
  </w:footnote>
  <w:footnote w:type="continuationSeparator" w:id="0">
    <w:p w:rsidR="007302B7" w:rsidRDefault="007302B7" w:rsidP="0082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B9" w:rsidRPr="008C3E3F" w:rsidRDefault="00B712B9" w:rsidP="00B712B9">
    <w:pPr>
      <w:spacing w:after="0"/>
      <w:jc w:val="center"/>
      <w:rPr>
        <w:b/>
        <w:sz w:val="20"/>
        <w:szCs w:val="20"/>
      </w:rPr>
    </w:pPr>
    <w:r w:rsidRPr="008C3E3F">
      <w:rPr>
        <w:b/>
        <w:noProof/>
        <w:sz w:val="20"/>
        <w:szCs w:val="20"/>
        <w:lang w:eastAsia="es-CO"/>
      </w:rPr>
      <w:drawing>
        <wp:anchor distT="0" distB="0" distL="114300" distR="114300" simplePos="0" relativeHeight="251661312" behindDoc="1" locked="0" layoutInCell="1" allowOverlap="1" wp14:anchorId="6A3A2751" wp14:editId="5403506D">
          <wp:simplePos x="0" y="0"/>
          <wp:positionH relativeFrom="margin">
            <wp:posOffset>215265</wp:posOffset>
          </wp:positionH>
          <wp:positionV relativeFrom="paragraph">
            <wp:posOffset>-268605</wp:posOffset>
          </wp:positionV>
          <wp:extent cx="809625" cy="809625"/>
          <wp:effectExtent l="0" t="0" r="9525" b="9525"/>
          <wp:wrapNone/>
          <wp:docPr id="5" name="7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7 Imag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37" b="32877"/>
                  <a:stretch/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E3F">
      <w:rPr>
        <w:b/>
        <w:sz w:val="20"/>
        <w:szCs w:val="20"/>
      </w:rPr>
      <w:t>UNIVERSIDAD DE CIENCIAS APLICADAS Y AMBIENTALES U.D.C.A</w:t>
    </w:r>
  </w:p>
  <w:p w:rsidR="00B712B9" w:rsidRPr="008C3E3F" w:rsidRDefault="00B712B9" w:rsidP="00B712B9">
    <w:pPr>
      <w:spacing w:after="0"/>
      <w:jc w:val="center"/>
      <w:rPr>
        <w:b/>
        <w:sz w:val="20"/>
        <w:szCs w:val="20"/>
      </w:rPr>
    </w:pPr>
    <w:r w:rsidRPr="008C3E3F">
      <w:rPr>
        <w:b/>
        <w:sz w:val="20"/>
        <w:szCs w:val="20"/>
      </w:rPr>
      <w:t>PROGRAMA DE PERMANENCIA Y PROMOCIÓN ESTUDIANTIL</w:t>
    </w:r>
  </w:p>
  <w:p w:rsidR="00B712B9" w:rsidRDefault="00B712B9" w:rsidP="00B712B9">
    <w:pPr>
      <w:tabs>
        <w:tab w:val="left" w:pos="1080"/>
        <w:tab w:val="center" w:pos="4678"/>
      </w:tabs>
      <w:spacing w:after="0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>DIRECCIÓN DE FORMACIÓN</w:t>
    </w:r>
  </w:p>
  <w:p w:rsidR="00E239A6" w:rsidRDefault="00E239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BAD"/>
    <w:multiLevelType w:val="hybridMultilevel"/>
    <w:tmpl w:val="AED0FC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F4958"/>
    <w:multiLevelType w:val="hybridMultilevel"/>
    <w:tmpl w:val="1EC492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DF"/>
    <w:rsid w:val="00001CC6"/>
    <w:rsid w:val="00003D67"/>
    <w:rsid w:val="0001186A"/>
    <w:rsid w:val="00014F93"/>
    <w:rsid w:val="000179EC"/>
    <w:rsid w:val="000207A0"/>
    <w:rsid w:val="00031750"/>
    <w:rsid w:val="0003603B"/>
    <w:rsid w:val="00037A8F"/>
    <w:rsid w:val="00040B7E"/>
    <w:rsid w:val="00041E87"/>
    <w:rsid w:val="00044BEE"/>
    <w:rsid w:val="0004583B"/>
    <w:rsid w:val="000511FF"/>
    <w:rsid w:val="000541AC"/>
    <w:rsid w:val="000606F2"/>
    <w:rsid w:val="000668E8"/>
    <w:rsid w:val="0007097F"/>
    <w:rsid w:val="0007139A"/>
    <w:rsid w:val="00072519"/>
    <w:rsid w:val="0007402D"/>
    <w:rsid w:val="000801A3"/>
    <w:rsid w:val="00083ACA"/>
    <w:rsid w:val="00084480"/>
    <w:rsid w:val="0009516D"/>
    <w:rsid w:val="00095B01"/>
    <w:rsid w:val="000A1237"/>
    <w:rsid w:val="000A1B78"/>
    <w:rsid w:val="000A249B"/>
    <w:rsid w:val="000A3AD3"/>
    <w:rsid w:val="000B0B86"/>
    <w:rsid w:val="000B3FB7"/>
    <w:rsid w:val="000B42EC"/>
    <w:rsid w:val="000B56B0"/>
    <w:rsid w:val="000B6291"/>
    <w:rsid w:val="000C10EA"/>
    <w:rsid w:val="000D6E5C"/>
    <w:rsid w:val="000E0871"/>
    <w:rsid w:val="000E248C"/>
    <w:rsid w:val="000E2B5E"/>
    <w:rsid w:val="000F2C61"/>
    <w:rsid w:val="000F47F8"/>
    <w:rsid w:val="0010491B"/>
    <w:rsid w:val="00111B0D"/>
    <w:rsid w:val="001178D3"/>
    <w:rsid w:val="00122717"/>
    <w:rsid w:val="0012425C"/>
    <w:rsid w:val="00130D4E"/>
    <w:rsid w:val="00132620"/>
    <w:rsid w:val="00134333"/>
    <w:rsid w:val="001424C7"/>
    <w:rsid w:val="001522C0"/>
    <w:rsid w:val="00152C6B"/>
    <w:rsid w:val="00153DED"/>
    <w:rsid w:val="00157A6F"/>
    <w:rsid w:val="001614B6"/>
    <w:rsid w:val="0017405A"/>
    <w:rsid w:val="00176AA7"/>
    <w:rsid w:val="00186116"/>
    <w:rsid w:val="001874BB"/>
    <w:rsid w:val="001920F9"/>
    <w:rsid w:val="001A0921"/>
    <w:rsid w:val="001A2FDB"/>
    <w:rsid w:val="001A388D"/>
    <w:rsid w:val="001A3D24"/>
    <w:rsid w:val="001B0313"/>
    <w:rsid w:val="001B490B"/>
    <w:rsid w:val="001B54AA"/>
    <w:rsid w:val="001C0DA9"/>
    <w:rsid w:val="001C465E"/>
    <w:rsid w:val="001C5E2E"/>
    <w:rsid w:val="001C7CE0"/>
    <w:rsid w:val="001D2AA7"/>
    <w:rsid w:val="001E2EC8"/>
    <w:rsid w:val="001E35AC"/>
    <w:rsid w:val="001E54B2"/>
    <w:rsid w:val="001E6972"/>
    <w:rsid w:val="001F2800"/>
    <w:rsid w:val="001F54EF"/>
    <w:rsid w:val="001F58AE"/>
    <w:rsid w:val="00202157"/>
    <w:rsid w:val="00203955"/>
    <w:rsid w:val="00207407"/>
    <w:rsid w:val="00207566"/>
    <w:rsid w:val="0021228A"/>
    <w:rsid w:val="002214A8"/>
    <w:rsid w:val="00226834"/>
    <w:rsid w:val="00235B25"/>
    <w:rsid w:val="00237A2B"/>
    <w:rsid w:val="00237AD6"/>
    <w:rsid w:val="00237ECA"/>
    <w:rsid w:val="00241B52"/>
    <w:rsid w:val="002429F6"/>
    <w:rsid w:val="00247B0F"/>
    <w:rsid w:val="00250285"/>
    <w:rsid w:val="0025249D"/>
    <w:rsid w:val="00252762"/>
    <w:rsid w:val="00252D88"/>
    <w:rsid w:val="00256FBA"/>
    <w:rsid w:val="00271F87"/>
    <w:rsid w:val="00274314"/>
    <w:rsid w:val="00275D27"/>
    <w:rsid w:val="00275DFF"/>
    <w:rsid w:val="00277034"/>
    <w:rsid w:val="00281013"/>
    <w:rsid w:val="00282151"/>
    <w:rsid w:val="00282985"/>
    <w:rsid w:val="00284D2A"/>
    <w:rsid w:val="002876D5"/>
    <w:rsid w:val="00293E24"/>
    <w:rsid w:val="002972BC"/>
    <w:rsid w:val="002A0147"/>
    <w:rsid w:val="002A5B0B"/>
    <w:rsid w:val="002B1A8E"/>
    <w:rsid w:val="002B53DD"/>
    <w:rsid w:val="002B5FF7"/>
    <w:rsid w:val="002C0D1E"/>
    <w:rsid w:val="002C29B2"/>
    <w:rsid w:val="002C4C43"/>
    <w:rsid w:val="002C4F38"/>
    <w:rsid w:val="002C5694"/>
    <w:rsid w:val="002C69D7"/>
    <w:rsid w:val="002C7042"/>
    <w:rsid w:val="002D0C24"/>
    <w:rsid w:val="002D661F"/>
    <w:rsid w:val="002E0018"/>
    <w:rsid w:val="002E38B7"/>
    <w:rsid w:val="002E4F96"/>
    <w:rsid w:val="002F06C5"/>
    <w:rsid w:val="00300726"/>
    <w:rsid w:val="003139EB"/>
    <w:rsid w:val="00320CBC"/>
    <w:rsid w:val="00327650"/>
    <w:rsid w:val="003303BB"/>
    <w:rsid w:val="00330CBE"/>
    <w:rsid w:val="003356A7"/>
    <w:rsid w:val="00344AF5"/>
    <w:rsid w:val="003465B8"/>
    <w:rsid w:val="00351893"/>
    <w:rsid w:val="003524CE"/>
    <w:rsid w:val="00354077"/>
    <w:rsid w:val="0035496F"/>
    <w:rsid w:val="003600AD"/>
    <w:rsid w:val="00363EA3"/>
    <w:rsid w:val="003646AA"/>
    <w:rsid w:val="003674BF"/>
    <w:rsid w:val="003707F0"/>
    <w:rsid w:val="00380EBB"/>
    <w:rsid w:val="00383D33"/>
    <w:rsid w:val="003B2D78"/>
    <w:rsid w:val="003B5C6F"/>
    <w:rsid w:val="003C3E4D"/>
    <w:rsid w:val="003D02BC"/>
    <w:rsid w:val="003D2427"/>
    <w:rsid w:val="003D54A7"/>
    <w:rsid w:val="003E0528"/>
    <w:rsid w:val="003E19BE"/>
    <w:rsid w:val="003E2305"/>
    <w:rsid w:val="003E4760"/>
    <w:rsid w:val="003E7E3F"/>
    <w:rsid w:val="003F51CB"/>
    <w:rsid w:val="00400FCE"/>
    <w:rsid w:val="00404C41"/>
    <w:rsid w:val="00405B9B"/>
    <w:rsid w:val="00414B5E"/>
    <w:rsid w:val="0041609C"/>
    <w:rsid w:val="00422DF1"/>
    <w:rsid w:val="00422E5E"/>
    <w:rsid w:val="00423B98"/>
    <w:rsid w:val="00427ABA"/>
    <w:rsid w:val="00427DAB"/>
    <w:rsid w:val="00434C18"/>
    <w:rsid w:val="00437C4F"/>
    <w:rsid w:val="004420AF"/>
    <w:rsid w:val="00444942"/>
    <w:rsid w:val="0046221B"/>
    <w:rsid w:val="00466DC4"/>
    <w:rsid w:val="0047123B"/>
    <w:rsid w:val="00473DAF"/>
    <w:rsid w:val="004764E2"/>
    <w:rsid w:val="00481421"/>
    <w:rsid w:val="00485A9F"/>
    <w:rsid w:val="00491661"/>
    <w:rsid w:val="004923BC"/>
    <w:rsid w:val="00494F92"/>
    <w:rsid w:val="004A1889"/>
    <w:rsid w:val="004A67E6"/>
    <w:rsid w:val="004B2A04"/>
    <w:rsid w:val="004B577A"/>
    <w:rsid w:val="004C0037"/>
    <w:rsid w:val="004C00BE"/>
    <w:rsid w:val="004C0F3E"/>
    <w:rsid w:val="004E0B16"/>
    <w:rsid w:val="004E1206"/>
    <w:rsid w:val="004F149A"/>
    <w:rsid w:val="004F51EF"/>
    <w:rsid w:val="004F6C03"/>
    <w:rsid w:val="004F6CA8"/>
    <w:rsid w:val="00501593"/>
    <w:rsid w:val="00502225"/>
    <w:rsid w:val="00503418"/>
    <w:rsid w:val="00507FEE"/>
    <w:rsid w:val="00514F49"/>
    <w:rsid w:val="00515607"/>
    <w:rsid w:val="005178F9"/>
    <w:rsid w:val="00520374"/>
    <w:rsid w:val="0053052B"/>
    <w:rsid w:val="005338F9"/>
    <w:rsid w:val="005342C6"/>
    <w:rsid w:val="00535C0D"/>
    <w:rsid w:val="005404EC"/>
    <w:rsid w:val="00543142"/>
    <w:rsid w:val="00543981"/>
    <w:rsid w:val="00543FD8"/>
    <w:rsid w:val="00545EDD"/>
    <w:rsid w:val="0054799C"/>
    <w:rsid w:val="005506E9"/>
    <w:rsid w:val="00552FE1"/>
    <w:rsid w:val="005600FD"/>
    <w:rsid w:val="0056254F"/>
    <w:rsid w:val="005662D7"/>
    <w:rsid w:val="0056784F"/>
    <w:rsid w:val="005845FA"/>
    <w:rsid w:val="00591D0F"/>
    <w:rsid w:val="00594488"/>
    <w:rsid w:val="005B015B"/>
    <w:rsid w:val="005B1D39"/>
    <w:rsid w:val="005C440D"/>
    <w:rsid w:val="005D0160"/>
    <w:rsid w:val="005D1C53"/>
    <w:rsid w:val="005D23A7"/>
    <w:rsid w:val="005D7F43"/>
    <w:rsid w:val="005E1874"/>
    <w:rsid w:val="005E2B1A"/>
    <w:rsid w:val="005F29CA"/>
    <w:rsid w:val="005F49F8"/>
    <w:rsid w:val="005F7BD2"/>
    <w:rsid w:val="006123AE"/>
    <w:rsid w:val="0061741A"/>
    <w:rsid w:val="00625EFF"/>
    <w:rsid w:val="00641AE3"/>
    <w:rsid w:val="006466CE"/>
    <w:rsid w:val="0065041A"/>
    <w:rsid w:val="0065068F"/>
    <w:rsid w:val="00652311"/>
    <w:rsid w:val="00653DB2"/>
    <w:rsid w:val="006602E0"/>
    <w:rsid w:val="006657C7"/>
    <w:rsid w:val="00682307"/>
    <w:rsid w:val="00682ADF"/>
    <w:rsid w:val="006851E0"/>
    <w:rsid w:val="00695F89"/>
    <w:rsid w:val="006A022E"/>
    <w:rsid w:val="006B2B6A"/>
    <w:rsid w:val="006B3E4D"/>
    <w:rsid w:val="006B7221"/>
    <w:rsid w:val="006D20A1"/>
    <w:rsid w:val="006D3E02"/>
    <w:rsid w:val="006D4353"/>
    <w:rsid w:val="006D6564"/>
    <w:rsid w:val="006E3C1E"/>
    <w:rsid w:val="006F090F"/>
    <w:rsid w:val="006F1DBC"/>
    <w:rsid w:val="006F616C"/>
    <w:rsid w:val="00703F72"/>
    <w:rsid w:val="00706EF0"/>
    <w:rsid w:val="007074B4"/>
    <w:rsid w:val="00707677"/>
    <w:rsid w:val="00713EFB"/>
    <w:rsid w:val="00715640"/>
    <w:rsid w:val="00721302"/>
    <w:rsid w:val="007302B7"/>
    <w:rsid w:val="00735458"/>
    <w:rsid w:val="0074242B"/>
    <w:rsid w:val="007428B9"/>
    <w:rsid w:val="00742F5A"/>
    <w:rsid w:val="00744DDD"/>
    <w:rsid w:val="007544F8"/>
    <w:rsid w:val="00763083"/>
    <w:rsid w:val="00770B31"/>
    <w:rsid w:val="00777F81"/>
    <w:rsid w:val="00781078"/>
    <w:rsid w:val="00792526"/>
    <w:rsid w:val="00793255"/>
    <w:rsid w:val="0079484C"/>
    <w:rsid w:val="007970BD"/>
    <w:rsid w:val="007A205B"/>
    <w:rsid w:val="007B01BD"/>
    <w:rsid w:val="007B0FF4"/>
    <w:rsid w:val="007B47A8"/>
    <w:rsid w:val="007B6DC7"/>
    <w:rsid w:val="007C2623"/>
    <w:rsid w:val="007D272A"/>
    <w:rsid w:val="007D2BEF"/>
    <w:rsid w:val="007E09D7"/>
    <w:rsid w:val="007E100B"/>
    <w:rsid w:val="007E3E51"/>
    <w:rsid w:val="007E65F2"/>
    <w:rsid w:val="007F3B00"/>
    <w:rsid w:val="007F68AA"/>
    <w:rsid w:val="007F6FC1"/>
    <w:rsid w:val="0080161D"/>
    <w:rsid w:val="00806835"/>
    <w:rsid w:val="00807874"/>
    <w:rsid w:val="00812E8F"/>
    <w:rsid w:val="0082281C"/>
    <w:rsid w:val="008262DF"/>
    <w:rsid w:val="00826DF1"/>
    <w:rsid w:val="00832AED"/>
    <w:rsid w:val="008336AC"/>
    <w:rsid w:val="008403A7"/>
    <w:rsid w:val="008504D5"/>
    <w:rsid w:val="00851BC2"/>
    <w:rsid w:val="0086148C"/>
    <w:rsid w:val="0086156B"/>
    <w:rsid w:val="00862422"/>
    <w:rsid w:val="00866707"/>
    <w:rsid w:val="0086710A"/>
    <w:rsid w:val="008738BC"/>
    <w:rsid w:val="0087486A"/>
    <w:rsid w:val="00875BD4"/>
    <w:rsid w:val="008774A4"/>
    <w:rsid w:val="00880C18"/>
    <w:rsid w:val="00880C97"/>
    <w:rsid w:val="008A308B"/>
    <w:rsid w:val="008A3A00"/>
    <w:rsid w:val="008A4257"/>
    <w:rsid w:val="008A42A9"/>
    <w:rsid w:val="008A57E0"/>
    <w:rsid w:val="008A5EAC"/>
    <w:rsid w:val="008B4B4B"/>
    <w:rsid w:val="008C0837"/>
    <w:rsid w:val="008C482D"/>
    <w:rsid w:val="008C771F"/>
    <w:rsid w:val="008C79A8"/>
    <w:rsid w:val="008D260D"/>
    <w:rsid w:val="008D5E0C"/>
    <w:rsid w:val="008D6442"/>
    <w:rsid w:val="008E1A80"/>
    <w:rsid w:val="008E7ED9"/>
    <w:rsid w:val="008F0D31"/>
    <w:rsid w:val="008F4569"/>
    <w:rsid w:val="008F5B5C"/>
    <w:rsid w:val="008F78A1"/>
    <w:rsid w:val="00900792"/>
    <w:rsid w:val="009029F5"/>
    <w:rsid w:val="00903899"/>
    <w:rsid w:val="00905B3F"/>
    <w:rsid w:val="00905DB5"/>
    <w:rsid w:val="00907268"/>
    <w:rsid w:val="00914532"/>
    <w:rsid w:val="0091468A"/>
    <w:rsid w:val="00920A71"/>
    <w:rsid w:val="00930547"/>
    <w:rsid w:val="009322A1"/>
    <w:rsid w:val="00934CFB"/>
    <w:rsid w:val="0093514C"/>
    <w:rsid w:val="009365DD"/>
    <w:rsid w:val="00940B97"/>
    <w:rsid w:val="0094235C"/>
    <w:rsid w:val="009472D3"/>
    <w:rsid w:val="009548A5"/>
    <w:rsid w:val="00954DC8"/>
    <w:rsid w:val="00955D34"/>
    <w:rsid w:val="00956835"/>
    <w:rsid w:val="0095793F"/>
    <w:rsid w:val="00970F6B"/>
    <w:rsid w:val="00981139"/>
    <w:rsid w:val="009851E0"/>
    <w:rsid w:val="009939BB"/>
    <w:rsid w:val="00994AC3"/>
    <w:rsid w:val="009970F7"/>
    <w:rsid w:val="009A3F67"/>
    <w:rsid w:val="009A47DA"/>
    <w:rsid w:val="009A4ADD"/>
    <w:rsid w:val="009A5DFB"/>
    <w:rsid w:val="009A728C"/>
    <w:rsid w:val="009B0664"/>
    <w:rsid w:val="009B1AEC"/>
    <w:rsid w:val="009B2F0C"/>
    <w:rsid w:val="009B3D8A"/>
    <w:rsid w:val="009B48A1"/>
    <w:rsid w:val="009B4DB1"/>
    <w:rsid w:val="009B5F27"/>
    <w:rsid w:val="009C031B"/>
    <w:rsid w:val="009C367B"/>
    <w:rsid w:val="009D656F"/>
    <w:rsid w:val="009E5917"/>
    <w:rsid w:val="009F2EB7"/>
    <w:rsid w:val="009F4C89"/>
    <w:rsid w:val="00A03317"/>
    <w:rsid w:val="00A13664"/>
    <w:rsid w:val="00A1490E"/>
    <w:rsid w:val="00A16E46"/>
    <w:rsid w:val="00A2517F"/>
    <w:rsid w:val="00A2710B"/>
    <w:rsid w:val="00A45206"/>
    <w:rsid w:val="00A5156F"/>
    <w:rsid w:val="00A60726"/>
    <w:rsid w:val="00A62BDC"/>
    <w:rsid w:val="00A66420"/>
    <w:rsid w:val="00A7084E"/>
    <w:rsid w:val="00A72370"/>
    <w:rsid w:val="00A83A76"/>
    <w:rsid w:val="00A84C8F"/>
    <w:rsid w:val="00A864D3"/>
    <w:rsid w:val="00A87BCF"/>
    <w:rsid w:val="00A91B60"/>
    <w:rsid w:val="00A91E35"/>
    <w:rsid w:val="00A93C1F"/>
    <w:rsid w:val="00A948A4"/>
    <w:rsid w:val="00AA2675"/>
    <w:rsid w:val="00AA26C4"/>
    <w:rsid w:val="00AA3790"/>
    <w:rsid w:val="00AA5041"/>
    <w:rsid w:val="00AA6A43"/>
    <w:rsid w:val="00AA7635"/>
    <w:rsid w:val="00AB0893"/>
    <w:rsid w:val="00AD341F"/>
    <w:rsid w:val="00AD4CDB"/>
    <w:rsid w:val="00AD6408"/>
    <w:rsid w:val="00AE05B7"/>
    <w:rsid w:val="00AE5422"/>
    <w:rsid w:val="00AE72FE"/>
    <w:rsid w:val="00AF2099"/>
    <w:rsid w:val="00AF2465"/>
    <w:rsid w:val="00AF7080"/>
    <w:rsid w:val="00B04555"/>
    <w:rsid w:val="00B107D8"/>
    <w:rsid w:val="00B155A0"/>
    <w:rsid w:val="00B17B79"/>
    <w:rsid w:val="00B22A93"/>
    <w:rsid w:val="00B25955"/>
    <w:rsid w:val="00B30CD3"/>
    <w:rsid w:val="00B35DB7"/>
    <w:rsid w:val="00B46899"/>
    <w:rsid w:val="00B46EF4"/>
    <w:rsid w:val="00B50A70"/>
    <w:rsid w:val="00B519D8"/>
    <w:rsid w:val="00B6655E"/>
    <w:rsid w:val="00B70170"/>
    <w:rsid w:val="00B7034B"/>
    <w:rsid w:val="00B712B9"/>
    <w:rsid w:val="00B72330"/>
    <w:rsid w:val="00B74F60"/>
    <w:rsid w:val="00B7742C"/>
    <w:rsid w:val="00B823D6"/>
    <w:rsid w:val="00B82DBE"/>
    <w:rsid w:val="00B84076"/>
    <w:rsid w:val="00B847C4"/>
    <w:rsid w:val="00B90E00"/>
    <w:rsid w:val="00B9674E"/>
    <w:rsid w:val="00BA388A"/>
    <w:rsid w:val="00BA7780"/>
    <w:rsid w:val="00BB4B92"/>
    <w:rsid w:val="00BB57E3"/>
    <w:rsid w:val="00BC0C8C"/>
    <w:rsid w:val="00BC27A5"/>
    <w:rsid w:val="00BC2D7F"/>
    <w:rsid w:val="00BC4C40"/>
    <w:rsid w:val="00BC7600"/>
    <w:rsid w:val="00BC764B"/>
    <w:rsid w:val="00BD3EF6"/>
    <w:rsid w:val="00BD78BB"/>
    <w:rsid w:val="00BE0149"/>
    <w:rsid w:val="00BE13D1"/>
    <w:rsid w:val="00BE2D7F"/>
    <w:rsid w:val="00BE572B"/>
    <w:rsid w:val="00BE738F"/>
    <w:rsid w:val="00BE7BD0"/>
    <w:rsid w:val="00BF13A8"/>
    <w:rsid w:val="00BF3C65"/>
    <w:rsid w:val="00BF5083"/>
    <w:rsid w:val="00C008A4"/>
    <w:rsid w:val="00C0186E"/>
    <w:rsid w:val="00C02132"/>
    <w:rsid w:val="00C02804"/>
    <w:rsid w:val="00C0411C"/>
    <w:rsid w:val="00C0470E"/>
    <w:rsid w:val="00C052D4"/>
    <w:rsid w:val="00C10B5A"/>
    <w:rsid w:val="00C11345"/>
    <w:rsid w:val="00C113DF"/>
    <w:rsid w:val="00C12D8E"/>
    <w:rsid w:val="00C136F0"/>
    <w:rsid w:val="00C201D1"/>
    <w:rsid w:val="00C21EBC"/>
    <w:rsid w:val="00C21FF6"/>
    <w:rsid w:val="00C22D79"/>
    <w:rsid w:val="00C2436C"/>
    <w:rsid w:val="00C252FD"/>
    <w:rsid w:val="00C26066"/>
    <w:rsid w:val="00C26D34"/>
    <w:rsid w:val="00C274C3"/>
    <w:rsid w:val="00C32723"/>
    <w:rsid w:val="00C35462"/>
    <w:rsid w:val="00C405B1"/>
    <w:rsid w:val="00C45D6D"/>
    <w:rsid w:val="00C4676B"/>
    <w:rsid w:val="00C46782"/>
    <w:rsid w:val="00C5011E"/>
    <w:rsid w:val="00C501D6"/>
    <w:rsid w:val="00C52393"/>
    <w:rsid w:val="00C544C4"/>
    <w:rsid w:val="00C560F9"/>
    <w:rsid w:val="00C61871"/>
    <w:rsid w:val="00C6196B"/>
    <w:rsid w:val="00C64D45"/>
    <w:rsid w:val="00C6783B"/>
    <w:rsid w:val="00C711C3"/>
    <w:rsid w:val="00C71278"/>
    <w:rsid w:val="00C732B7"/>
    <w:rsid w:val="00C754FD"/>
    <w:rsid w:val="00C806DF"/>
    <w:rsid w:val="00C81210"/>
    <w:rsid w:val="00C84F47"/>
    <w:rsid w:val="00C86A46"/>
    <w:rsid w:val="00C90332"/>
    <w:rsid w:val="00C91605"/>
    <w:rsid w:val="00C91783"/>
    <w:rsid w:val="00C935CA"/>
    <w:rsid w:val="00C940F0"/>
    <w:rsid w:val="00C9443F"/>
    <w:rsid w:val="00C96F9A"/>
    <w:rsid w:val="00CA582D"/>
    <w:rsid w:val="00CA66A7"/>
    <w:rsid w:val="00CB108F"/>
    <w:rsid w:val="00CB1379"/>
    <w:rsid w:val="00CB2A7B"/>
    <w:rsid w:val="00CB5051"/>
    <w:rsid w:val="00CB5F61"/>
    <w:rsid w:val="00CC5385"/>
    <w:rsid w:val="00CD3611"/>
    <w:rsid w:val="00CD3BE3"/>
    <w:rsid w:val="00CD429F"/>
    <w:rsid w:val="00CE0ECC"/>
    <w:rsid w:val="00CE1265"/>
    <w:rsid w:val="00CE726B"/>
    <w:rsid w:val="00CE72A9"/>
    <w:rsid w:val="00CF0270"/>
    <w:rsid w:val="00CF142B"/>
    <w:rsid w:val="00CF4DAF"/>
    <w:rsid w:val="00D00346"/>
    <w:rsid w:val="00D06AAF"/>
    <w:rsid w:val="00D12BE7"/>
    <w:rsid w:val="00D16CD9"/>
    <w:rsid w:val="00D32947"/>
    <w:rsid w:val="00D34F96"/>
    <w:rsid w:val="00D376B7"/>
    <w:rsid w:val="00D400F7"/>
    <w:rsid w:val="00D471FE"/>
    <w:rsid w:val="00D50C3E"/>
    <w:rsid w:val="00D51044"/>
    <w:rsid w:val="00D51DF5"/>
    <w:rsid w:val="00D56301"/>
    <w:rsid w:val="00D602A6"/>
    <w:rsid w:val="00D65520"/>
    <w:rsid w:val="00D66BC9"/>
    <w:rsid w:val="00D7375F"/>
    <w:rsid w:val="00D74D40"/>
    <w:rsid w:val="00D83DEE"/>
    <w:rsid w:val="00D844E4"/>
    <w:rsid w:val="00D872D1"/>
    <w:rsid w:val="00D919F4"/>
    <w:rsid w:val="00D91BC9"/>
    <w:rsid w:val="00D937D4"/>
    <w:rsid w:val="00D945E4"/>
    <w:rsid w:val="00D952CF"/>
    <w:rsid w:val="00D95310"/>
    <w:rsid w:val="00D954B5"/>
    <w:rsid w:val="00D95BAC"/>
    <w:rsid w:val="00DA10B4"/>
    <w:rsid w:val="00DA1254"/>
    <w:rsid w:val="00DA2CFC"/>
    <w:rsid w:val="00DA3055"/>
    <w:rsid w:val="00DA643E"/>
    <w:rsid w:val="00DB6735"/>
    <w:rsid w:val="00DC025A"/>
    <w:rsid w:val="00DC1A98"/>
    <w:rsid w:val="00DC2BAD"/>
    <w:rsid w:val="00DC3F77"/>
    <w:rsid w:val="00DC5A0D"/>
    <w:rsid w:val="00DE34E3"/>
    <w:rsid w:val="00DE4C9D"/>
    <w:rsid w:val="00DF1196"/>
    <w:rsid w:val="00DF59C6"/>
    <w:rsid w:val="00DF7F99"/>
    <w:rsid w:val="00E07CE8"/>
    <w:rsid w:val="00E108BF"/>
    <w:rsid w:val="00E14197"/>
    <w:rsid w:val="00E157A4"/>
    <w:rsid w:val="00E177BD"/>
    <w:rsid w:val="00E239A6"/>
    <w:rsid w:val="00E37C8C"/>
    <w:rsid w:val="00E421B1"/>
    <w:rsid w:val="00E42BFF"/>
    <w:rsid w:val="00E4424C"/>
    <w:rsid w:val="00E45AA3"/>
    <w:rsid w:val="00E47EB9"/>
    <w:rsid w:val="00E558FF"/>
    <w:rsid w:val="00E57147"/>
    <w:rsid w:val="00E60762"/>
    <w:rsid w:val="00E60CBD"/>
    <w:rsid w:val="00E63394"/>
    <w:rsid w:val="00E655D1"/>
    <w:rsid w:val="00E6595F"/>
    <w:rsid w:val="00E67580"/>
    <w:rsid w:val="00E90F21"/>
    <w:rsid w:val="00E93086"/>
    <w:rsid w:val="00E946E6"/>
    <w:rsid w:val="00E95A7E"/>
    <w:rsid w:val="00E97418"/>
    <w:rsid w:val="00EA1694"/>
    <w:rsid w:val="00EA2FAC"/>
    <w:rsid w:val="00EA6665"/>
    <w:rsid w:val="00EA773A"/>
    <w:rsid w:val="00EA7B5F"/>
    <w:rsid w:val="00EB1DD3"/>
    <w:rsid w:val="00EB27B2"/>
    <w:rsid w:val="00EB6D41"/>
    <w:rsid w:val="00EC29C0"/>
    <w:rsid w:val="00EC2C26"/>
    <w:rsid w:val="00ED3FC3"/>
    <w:rsid w:val="00EE28EC"/>
    <w:rsid w:val="00EE6327"/>
    <w:rsid w:val="00EE76E9"/>
    <w:rsid w:val="00EF39B9"/>
    <w:rsid w:val="00F036AE"/>
    <w:rsid w:val="00F043EE"/>
    <w:rsid w:val="00F0732C"/>
    <w:rsid w:val="00F154F8"/>
    <w:rsid w:val="00F20963"/>
    <w:rsid w:val="00F21F5D"/>
    <w:rsid w:val="00F23146"/>
    <w:rsid w:val="00F23DC7"/>
    <w:rsid w:val="00F24B15"/>
    <w:rsid w:val="00F250E8"/>
    <w:rsid w:val="00F313A5"/>
    <w:rsid w:val="00F32202"/>
    <w:rsid w:val="00F44925"/>
    <w:rsid w:val="00F465B0"/>
    <w:rsid w:val="00F4749D"/>
    <w:rsid w:val="00F56091"/>
    <w:rsid w:val="00F63573"/>
    <w:rsid w:val="00F64E41"/>
    <w:rsid w:val="00F6546C"/>
    <w:rsid w:val="00F71079"/>
    <w:rsid w:val="00F7121E"/>
    <w:rsid w:val="00F72276"/>
    <w:rsid w:val="00F72A8D"/>
    <w:rsid w:val="00F77DA0"/>
    <w:rsid w:val="00F804EE"/>
    <w:rsid w:val="00F8412F"/>
    <w:rsid w:val="00F86903"/>
    <w:rsid w:val="00F902EE"/>
    <w:rsid w:val="00F91F5B"/>
    <w:rsid w:val="00F93EFB"/>
    <w:rsid w:val="00F95659"/>
    <w:rsid w:val="00F967AD"/>
    <w:rsid w:val="00F96933"/>
    <w:rsid w:val="00FA0C7B"/>
    <w:rsid w:val="00FA4BC5"/>
    <w:rsid w:val="00FA6576"/>
    <w:rsid w:val="00FA71DD"/>
    <w:rsid w:val="00FB4CCD"/>
    <w:rsid w:val="00FB5EBA"/>
    <w:rsid w:val="00FB6387"/>
    <w:rsid w:val="00FB63F3"/>
    <w:rsid w:val="00FB6D34"/>
    <w:rsid w:val="00FB71CA"/>
    <w:rsid w:val="00FB7F03"/>
    <w:rsid w:val="00FC11A5"/>
    <w:rsid w:val="00FC5275"/>
    <w:rsid w:val="00FD09C4"/>
    <w:rsid w:val="00FD14E9"/>
    <w:rsid w:val="00FD3E56"/>
    <w:rsid w:val="00FD7585"/>
    <w:rsid w:val="00FD7D23"/>
    <w:rsid w:val="00FE1EF0"/>
    <w:rsid w:val="00FF0B31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636A78-27CB-43B0-AF07-C3266C62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2DF"/>
  </w:style>
  <w:style w:type="paragraph" w:styleId="Piedepgina">
    <w:name w:val="footer"/>
    <w:basedOn w:val="Normal"/>
    <w:link w:val="PiedepginaCar"/>
    <w:uiPriority w:val="99"/>
    <w:unhideWhenUsed/>
    <w:rsid w:val="00826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2DF"/>
  </w:style>
  <w:style w:type="paragraph" w:styleId="Prrafodelista">
    <w:name w:val="List Paragraph"/>
    <w:basedOn w:val="Normal"/>
    <w:uiPriority w:val="34"/>
    <w:qFormat/>
    <w:rsid w:val="00D471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21" Type="http://schemas.openxmlformats.org/officeDocument/2006/relationships/chart" Target="charts/chart14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footer" Target="footer1.xml"/><Relationship Id="rId8" Type="http://schemas.openxmlformats.org/officeDocument/2006/relationships/chart" Target="charts/chart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PPE%202017%20II\PRUEBAS%20SABER%20PRO%202017%20II\TRABAJO%20PROMEDIOS\ICFES%202017%20II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PROMEDIO GENERAL POR CARRERA</a:t>
            </a:r>
          </a:p>
          <a:p>
            <a:pPr>
              <a:defRPr sz="1200"/>
            </a:pPr>
            <a:r>
              <a:rPr lang="en-US" sz="1200"/>
              <a:t>PRUEBA SABER 11 2017 II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ysClr val="windowText" lastClr="00000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2AE-4795-9EED-844E78295704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ysClr val="windowText" lastClr="000000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2AE-4795-9EED-844E78295704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ysClr val="windowText" lastClr="00000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2AE-4795-9EED-844E78295704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ysClr val="windowText" lastClr="00000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2AE-4795-9EED-844E78295704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ysClr val="windowText" lastClr="00000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2AE-4795-9EED-844E78295704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ysClr val="windowText" lastClr="000000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2AE-4795-9EED-844E78295704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ysClr val="windowText" lastClr="000000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2AE-4795-9EED-844E78295704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dk1">
                      <a:tint val="50000"/>
                      <a:satMod val="300000"/>
                    </a:schemeClr>
                  </a:gs>
                  <a:gs pos="35000">
                    <a:schemeClr val="dk1">
                      <a:tint val="37000"/>
                      <a:satMod val="300000"/>
                    </a:schemeClr>
                  </a:gs>
                  <a:gs pos="100000">
                    <a:schemeClr val="dk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ysClr val="windowText" lastClr="000000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12AE-4795-9EED-844E78295704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dk1">
                      <a:shade val="51000"/>
                      <a:satMod val="130000"/>
                    </a:schemeClr>
                  </a:gs>
                  <a:gs pos="80000">
                    <a:schemeClr val="dk1">
                      <a:shade val="93000"/>
                      <a:satMod val="130000"/>
                    </a:schemeClr>
                  </a:gs>
                  <a:gs pos="100000">
                    <a:schemeClr val="dk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ysClr val="windowText" lastClr="00000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12AE-4795-9EED-844E78295704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ysClr val="windowText" lastClr="00000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12AE-4795-9EED-844E78295704}"/>
              </c:ext>
            </c:extLst>
          </c:dPt>
          <c:dPt>
            <c:idx val="11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2AE-4795-9EED-844E78295704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12AE-4795-9EED-844E78295704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12AE-4795-9EED-844E78295704}"/>
              </c:ext>
            </c:extLst>
          </c:dPt>
          <c:dPt>
            <c:idx val="14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12AE-4795-9EED-844E78295704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12AE-4795-9EED-844E78295704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12AE-4795-9EED-844E78295704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2"/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12AE-4795-9EED-844E78295704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/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12AE-4795-9EED-844E78295704}"/>
              </c:ext>
            </c:extLst>
          </c:dPt>
          <c:dPt>
            <c:idx val="19"/>
            <c:invertIfNegative val="0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12AE-4795-9EED-844E78295704}"/>
              </c:ext>
            </c:extLst>
          </c:dPt>
          <c:trendline>
            <c:spPr>
              <a:ln w="1905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rendlineType val="linear"/>
            <c:dispRSqr val="0"/>
            <c:dispEq val="0"/>
          </c:trendline>
          <c:cat>
            <c:strRef>
              <c:f>'RESULTADOS GENERALES'!$B$2:$B$21</c:f>
              <c:strCache>
                <c:ptCount val="20"/>
                <c:pt idx="0">
                  <c:v>V</c:v>
                </c:pt>
                <c:pt idx="1">
                  <c:v>Z</c:v>
                </c:pt>
                <c:pt idx="2">
                  <c:v>MVZ</c:v>
                </c:pt>
                <c:pt idx="3">
                  <c:v>MVZ C. </c:v>
                </c:pt>
                <c:pt idx="4">
                  <c:v>Q.F</c:v>
                </c:pt>
                <c:pt idx="5">
                  <c:v>C.D</c:v>
                </c:pt>
                <c:pt idx="6">
                  <c:v>E.D</c:v>
                </c:pt>
                <c:pt idx="7">
                  <c:v>MH</c:v>
                </c:pt>
                <c:pt idx="8">
                  <c:v>ENF</c:v>
                </c:pt>
                <c:pt idx="9">
                  <c:v>C.A</c:v>
                </c:pt>
                <c:pt idx="10">
                  <c:v>I.A</c:v>
                </c:pt>
                <c:pt idx="11">
                  <c:v>I.C</c:v>
                </c:pt>
                <c:pt idx="12">
                  <c:v>I.G.A.</c:v>
                </c:pt>
                <c:pt idx="13">
                  <c:v>Q </c:v>
                </c:pt>
                <c:pt idx="14">
                  <c:v>DER</c:v>
                </c:pt>
                <c:pt idx="15">
                  <c:v>N.I</c:v>
                </c:pt>
                <c:pt idx="16">
                  <c:v>A.E</c:v>
                </c:pt>
                <c:pt idx="17">
                  <c:v>L.C.N</c:v>
                </c:pt>
                <c:pt idx="18">
                  <c:v>C.P</c:v>
                </c:pt>
                <c:pt idx="19">
                  <c:v>PROM. GEN.</c:v>
                </c:pt>
              </c:strCache>
            </c:strRef>
          </c:cat>
          <c:val>
            <c:numRef>
              <c:f>'RESULTADOS GENERALES'!$I$2:$I$21</c:f>
              <c:numCache>
                <c:formatCode>0.0</c:formatCode>
                <c:ptCount val="20"/>
                <c:pt idx="0" formatCode="General">
                  <c:v>56.620000000000005</c:v>
                </c:pt>
                <c:pt idx="1">
                  <c:v>51.840000000000011</c:v>
                </c:pt>
                <c:pt idx="2">
                  <c:v>55.6</c:v>
                </c:pt>
                <c:pt idx="3">
                  <c:v>46.019999999999996</c:v>
                </c:pt>
                <c:pt idx="4">
                  <c:v>61.379999999999995</c:v>
                </c:pt>
                <c:pt idx="5">
                  <c:v>56.54</c:v>
                </c:pt>
                <c:pt idx="6">
                  <c:v>47.879999999999995</c:v>
                </c:pt>
                <c:pt idx="7">
                  <c:v>64.98</c:v>
                </c:pt>
                <c:pt idx="8">
                  <c:v>53.04</c:v>
                </c:pt>
                <c:pt idx="9">
                  <c:v>55.959999999999994</c:v>
                </c:pt>
                <c:pt idx="10">
                  <c:v>49.8</c:v>
                </c:pt>
                <c:pt idx="11">
                  <c:v>53.040000000000006</c:v>
                </c:pt>
                <c:pt idx="12">
                  <c:v>54.620000000000005</c:v>
                </c:pt>
                <c:pt idx="13">
                  <c:v>59</c:v>
                </c:pt>
                <c:pt idx="14">
                  <c:v>47.9</c:v>
                </c:pt>
                <c:pt idx="15">
                  <c:v>50.44</c:v>
                </c:pt>
                <c:pt idx="16">
                  <c:v>49.3</c:v>
                </c:pt>
                <c:pt idx="17">
                  <c:v>47.980000000000004</c:v>
                </c:pt>
                <c:pt idx="18">
                  <c:v>50.839999999999996</c:v>
                </c:pt>
                <c:pt idx="19">
                  <c:v>53.304210526315799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12AE-4795-9EED-844E78295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38313072"/>
        <c:axId val="-1838313616"/>
      </c:barChart>
      <c:catAx>
        <c:axId val="-183831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38313616"/>
        <c:crosses val="autoZero"/>
        <c:auto val="1"/>
        <c:lblAlgn val="ctr"/>
        <c:lblOffset val="100"/>
        <c:noMultiLvlLbl val="0"/>
      </c:catAx>
      <c:valAx>
        <c:axId val="-183831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383130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O" sz="1200" b="0" i="0" baseline="0">
                <a:effectLst/>
              </a:rPr>
              <a:t>M.V.Z. </a:t>
            </a:r>
            <a:endParaRPr lang="es-CO" sz="1200">
              <a:effectLst/>
            </a:endParaRPr>
          </a:p>
          <a:p>
            <a:pPr>
              <a:defRPr/>
            </a:pPr>
            <a:r>
              <a:rPr lang="en-US" sz="1200" b="0" i="0" baseline="0">
                <a:effectLst/>
              </a:rPr>
              <a:t>POBLACIÓN: 66  ESTUDIANTES 2017 II </a:t>
            </a:r>
            <a:endParaRPr lang="es-CO" sz="1200">
              <a:effectLst/>
            </a:endParaRP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accent5">
                <a:lumMod val="60000"/>
                <a:lumOff val="40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MVZ!$D$1:$I$1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TOTAL</c:v>
                </c:pt>
              </c:strCache>
            </c:strRef>
          </c:cat>
          <c:val>
            <c:numRef>
              <c:f>MVZ!$D$2:$I$2</c:f>
              <c:numCache>
                <c:formatCode>General</c:formatCode>
                <c:ptCount val="6"/>
                <c:pt idx="0">
                  <c:v>54.1</c:v>
                </c:pt>
                <c:pt idx="1">
                  <c:v>53.7</c:v>
                </c:pt>
                <c:pt idx="2">
                  <c:v>54.5</c:v>
                </c:pt>
                <c:pt idx="3">
                  <c:v>55.4</c:v>
                </c:pt>
                <c:pt idx="4">
                  <c:v>60.3</c:v>
                </c:pt>
                <c:pt idx="5">
                  <c:v>55.6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2F-41E7-9319-3353828743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636048"/>
        <c:axId val="-1808639856"/>
      </c:barChart>
      <c:catAx>
        <c:axId val="-180863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39856"/>
        <c:crosses val="autoZero"/>
        <c:auto val="1"/>
        <c:lblAlgn val="ctr"/>
        <c:lblOffset val="100"/>
        <c:noMultiLvlLbl val="0"/>
      </c:catAx>
      <c:valAx>
        <c:axId val="-180863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36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O" sz="1200" b="0" i="0" baseline="0">
                <a:effectLst/>
              </a:rPr>
              <a:t>M.V.Z.  CARTAGENA</a:t>
            </a:r>
            <a:endParaRPr lang="es-CO" sz="1200">
              <a:effectLst/>
            </a:endParaRPr>
          </a:p>
          <a:p>
            <a:pPr>
              <a:defRPr/>
            </a:pPr>
            <a:r>
              <a:rPr lang="en-US" sz="1200" b="0" i="0" baseline="0">
                <a:effectLst/>
              </a:rPr>
              <a:t>POBLACIÓN: 25  ESTUDIANTES 2017 II </a:t>
            </a:r>
            <a:endParaRPr lang="es-CO" sz="1200">
              <a:effectLst/>
            </a:endParaRPr>
          </a:p>
          <a:p>
            <a:pPr>
              <a:defRPr/>
            </a:pP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accent4">
                <a:lumMod val="60000"/>
                <a:lumOff val="40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'MVZ CARTG'!$D$1:$I$1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'MVZ CARTG'!$D$2:$I$2</c:f>
              <c:numCache>
                <c:formatCode>General</c:formatCode>
                <c:ptCount val="6"/>
                <c:pt idx="0">
                  <c:v>48.4</c:v>
                </c:pt>
                <c:pt idx="1">
                  <c:v>42.1</c:v>
                </c:pt>
                <c:pt idx="2">
                  <c:v>48.6</c:v>
                </c:pt>
                <c:pt idx="3">
                  <c:v>43.6</c:v>
                </c:pt>
                <c:pt idx="4">
                  <c:v>47.4</c:v>
                </c:pt>
                <c:pt idx="5">
                  <c:v>46.019999999999996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16-419D-AE93-B6D833813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650192"/>
        <c:axId val="-1808088720"/>
      </c:barChart>
      <c:catAx>
        <c:axId val="-180865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88720"/>
        <c:crosses val="autoZero"/>
        <c:auto val="1"/>
        <c:lblAlgn val="ctr"/>
        <c:lblOffset val="100"/>
        <c:noMultiLvlLbl val="0"/>
      </c:catAx>
      <c:valAx>
        <c:axId val="-180808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ysClr val="windowText" lastClr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501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QUÍMICA FARMACÉUTICA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POBLACIÓN: 41  ESTUDIANTES 2017 II</a:t>
            </a:r>
            <a:endParaRPr lang="en-US"/>
          </a:p>
        </c:rich>
      </c:tx>
      <c:layout>
        <c:manualLayout>
          <c:xMode val="edge"/>
          <c:yMode val="edge"/>
          <c:x val="0.29041929666366101"/>
          <c:y val="4.59770114942528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7383700290394269"/>
          <c:y val="0.27254701782966784"/>
          <c:w val="0.7576819642775523"/>
          <c:h val="0.50198618478129564"/>
        </c:manualLayout>
      </c:layout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rgbClr val="92D050"/>
            </a:solidFill>
            <a:ln w="25400" cap="flat" cmpd="sng" algn="ctr">
              <a:solidFill>
                <a:schemeClr val="tx1"/>
              </a:solidFill>
              <a:prstDash val="solid"/>
            </a:ln>
            <a:effectLst/>
          </c:spPr>
          <c:invertIfNegative val="0"/>
          <c:cat>
            <c:strRef>
              <c:f>Q.F.!$D$1:$I$1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Q.F.!$D$2:$I$2</c:f>
              <c:numCache>
                <c:formatCode>General</c:formatCode>
                <c:ptCount val="6"/>
                <c:pt idx="0">
                  <c:v>60.7</c:v>
                </c:pt>
                <c:pt idx="1">
                  <c:v>59.3</c:v>
                </c:pt>
                <c:pt idx="2">
                  <c:v>61.5</c:v>
                </c:pt>
                <c:pt idx="3">
                  <c:v>62.5</c:v>
                </c:pt>
                <c:pt idx="4">
                  <c:v>62.9</c:v>
                </c:pt>
                <c:pt idx="5">
                  <c:v>61.379999999999995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14-4C73-9B7D-99E2C69B78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85456"/>
        <c:axId val="-1808077296"/>
      </c:barChart>
      <c:catAx>
        <c:axId val="-180808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77296"/>
        <c:crosses val="autoZero"/>
        <c:auto val="1"/>
        <c:lblAlgn val="ctr"/>
        <c:lblOffset val="100"/>
        <c:noMultiLvlLbl val="0"/>
      </c:catAx>
      <c:valAx>
        <c:axId val="-180807729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85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QUÍMICA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POBLACIÓN: 18   ESTUDIANTES 2017 II </a:t>
            </a:r>
            <a:endParaRPr lang="es-CO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rgbClr val="7030A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QUIMICA!$D$1:$I$1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QUIMICA!$D$2:$I$2</c:f>
              <c:numCache>
                <c:formatCode>General</c:formatCode>
                <c:ptCount val="6"/>
                <c:pt idx="0">
                  <c:v>56.7</c:v>
                </c:pt>
                <c:pt idx="1">
                  <c:v>57.6</c:v>
                </c:pt>
                <c:pt idx="2">
                  <c:v>59.8</c:v>
                </c:pt>
                <c:pt idx="3">
                  <c:v>58</c:v>
                </c:pt>
                <c:pt idx="4">
                  <c:v>62.9</c:v>
                </c:pt>
                <c:pt idx="5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61-4065-975F-1A03D1686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82736"/>
        <c:axId val="-1808089264"/>
      </c:barChart>
      <c:catAx>
        <c:axId val="-180808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89264"/>
        <c:crosses val="autoZero"/>
        <c:auto val="1"/>
        <c:lblAlgn val="ctr"/>
        <c:lblOffset val="100"/>
        <c:noMultiLvlLbl val="0"/>
      </c:catAx>
      <c:valAx>
        <c:axId val="-180808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827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ysClr val="windowText" lastClr="000000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CIENCIAS DEL DEPORTE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POBLACIÓN: 42  ESTUDIANTES 2017 II  </a:t>
            </a:r>
            <a:endParaRPr lang="es-CO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accent2">
                <a:lumMod val="60000"/>
                <a:lumOff val="40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'C.D'!$D$1:$I$1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'C.D'!$D$2:$I$2</c:f>
              <c:numCache>
                <c:formatCode>General</c:formatCode>
                <c:ptCount val="6"/>
                <c:pt idx="0">
                  <c:v>55.5</c:v>
                </c:pt>
                <c:pt idx="1">
                  <c:v>56.3</c:v>
                </c:pt>
                <c:pt idx="2">
                  <c:v>54.8</c:v>
                </c:pt>
                <c:pt idx="3">
                  <c:v>57.1</c:v>
                </c:pt>
                <c:pt idx="4">
                  <c:v>59</c:v>
                </c:pt>
                <c:pt idx="5">
                  <c:v>56.54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76-468F-B35F-3AEBE803E5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86000"/>
        <c:axId val="-1808080016"/>
      </c:barChart>
      <c:catAx>
        <c:axId val="-180808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80016"/>
        <c:crosses val="autoZero"/>
        <c:auto val="1"/>
        <c:lblAlgn val="ctr"/>
        <c:lblOffset val="100"/>
        <c:noMultiLvlLbl val="0"/>
      </c:catAx>
      <c:valAx>
        <c:axId val="-180808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860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TÉCNICO ENTRENAMIENTO DEPORTIVO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POBLACIÓN: 30  ESTUDIANTES 2017 II  </a:t>
            </a:r>
            <a:endParaRPr lang="es-CO" sz="1200">
              <a:effectLst/>
            </a:endParaRPr>
          </a:p>
        </c:rich>
      </c:tx>
      <c:layout>
        <c:manualLayout>
          <c:xMode val="edge"/>
          <c:yMode val="edge"/>
          <c:x val="0.28465173910677438"/>
          <c:y val="2.38805970149253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PROMEDIOS</c:v>
          </c:tx>
          <c:spPr>
            <a:solidFill>
              <a:srgbClr val="FF000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T.E.D.!$D$1:$I$1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T.E.D.!$D$2:$I$2</c:f>
              <c:numCache>
                <c:formatCode>General</c:formatCode>
                <c:ptCount val="6"/>
                <c:pt idx="0">
                  <c:v>48.1</c:v>
                </c:pt>
                <c:pt idx="1">
                  <c:v>48.4</c:v>
                </c:pt>
                <c:pt idx="2">
                  <c:v>47.6</c:v>
                </c:pt>
                <c:pt idx="3">
                  <c:v>48</c:v>
                </c:pt>
                <c:pt idx="4">
                  <c:v>47.3</c:v>
                </c:pt>
                <c:pt idx="5">
                  <c:v>47.879999999999995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6B-41FC-949B-E0052EAB9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76752"/>
        <c:axId val="-1808093072"/>
      </c:barChart>
      <c:catAx>
        <c:axId val="-180807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93072"/>
        <c:crosses val="autoZero"/>
        <c:auto val="1"/>
        <c:lblAlgn val="ctr"/>
        <c:lblOffset val="100"/>
        <c:noMultiLvlLbl val="0"/>
      </c:catAx>
      <c:valAx>
        <c:axId val="-180809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767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MEDICINA  POBLACIÓN: 96 </a:t>
            </a:r>
            <a:endParaRPr lang="es-CO" sz="1200">
              <a:effectLst/>
            </a:endParaRPr>
          </a:p>
          <a:p>
            <a:pPr algn="ctr">
              <a:defRPr/>
            </a:pPr>
            <a:r>
              <a:rPr lang="en-US" sz="1200" b="0" i="0" baseline="0">
                <a:effectLst/>
              </a:rPr>
              <a:t>ESTUDIANTES 2017 II  PROMEDIO</a:t>
            </a:r>
            <a:endParaRPr lang="es-CO" sz="1200">
              <a:effectLst/>
            </a:endParaRPr>
          </a:p>
        </c:rich>
      </c:tx>
      <c:layout>
        <c:manualLayout>
          <c:xMode val="edge"/>
          <c:yMode val="edge"/>
          <c:x val="0.2566804461942257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accent5">
                <a:lumMod val="75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MEDICINA!$D$1:$I$1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MEDICINA!$D$2:$I$2</c:f>
              <c:numCache>
                <c:formatCode>General</c:formatCode>
                <c:ptCount val="6"/>
                <c:pt idx="0">
                  <c:v>63.3</c:v>
                </c:pt>
                <c:pt idx="1">
                  <c:v>64.7</c:v>
                </c:pt>
                <c:pt idx="2">
                  <c:v>64.7</c:v>
                </c:pt>
                <c:pt idx="3">
                  <c:v>64.400000000000006</c:v>
                </c:pt>
                <c:pt idx="4">
                  <c:v>67.8</c:v>
                </c:pt>
                <c:pt idx="5">
                  <c:v>64.98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7C-46CE-9B7D-01DF211AB2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84912"/>
        <c:axId val="-1808075664"/>
      </c:barChart>
      <c:catAx>
        <c:axId val="-180808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75664"/>
        <c:crosses val="autoZero"/>
        <c:auto val="1"/>
        <c:lblAlgn val="ctr"/>
        <c:lblOffset val="100"/>
        <c:noMultiLvlLbl val="0"/>
      </c:catAx>
      <c:valAx>
        <c:axId val="-180807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84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ENFERMERÍA: 75  </a:t>
            </a:r>
            <a:endParaRPr lang="es-CO" sz="1200">
              <a:effectLst/>
            </a:endParaRPr>
          </a:p>
          <a:p>
            <a:pPr>
              <a:defRPr/>
            </a:pPr>
            <a:r>
              <a:rPr lang="en-US" sz="1200" b="0" i="0" baseline="0">
                <a:effectLst/>
              </a:rPr>
              <a:t>ESTUDIANTES 2017 II  </a:t>
            </a:r>
            <a:endParaRPr lang="es-CO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PROMEDIOS</c:v>
          </c:tx>
          <c:spPr>
            <a:solidFill>
              <a:schemeClr val="accent2">
                <a:lumMod val="60000"/>
                <a:lumOff val="40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ENFERMERIA!$D$1:$I$1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ENFERMERIA!$D$2:$I$2</c:f>
              <c:numCache>
                <c:formatCode>General</c:formatCode>
                <c:ptCount val="6"/>
                <c:pt idx="0">
                  <c:v>52.7</c:v>
                </c:pt>
                <c:pt idx="1">
                  <c:v>53.8</c:v>
                </c:pt>
                <c:pt idx="2">
                  <c:v>53</c:v>
                </c:pt>
                <c:pt idx="3">
                  <c:v>53.2</c:v>
                </c:pt>
                <c:pt idx="4">
                  <c:v>52.5</c:v>
                </c:pt>
                <c:pt idx="5">
                  <c:v>53.04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9D-4DEF-B337-24A3CDA5B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91440"/>
        <c:axId val="-1808086544"/>
      </c:barChart>
      <c:catAx>
        <c:axId val="-180809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86544"/>
        <c:crosses val="autoZero"/>
        <c:auto val="1"/>
        <c:lblAlgn val="ctr"/>
        <c:lblOffset val="100"/>
        <c:noMultiLvlLbl val="0"/>
      </c:catAx>
      <c:valAx>
        <c:axId val="-1808086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91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CIENCIAS AMBIENTALES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POBLACIÓN:  10</a:t>
            </a:r>
            <a:endParaRPr lang="es-CO" sz="1200">
              <a:effectLst/>
            </a:endParaRPr>
          </a:p>
          <a:p>
            <a:pPr>
              <a:defRPr/>
            </a:pPr>
            <a:r>
              <a:rPr lang="en-US" sz="1200" b="0" i="0" baseline="0">
                <a:effectLst/>
              </a:rPr>
              <a:t>ESTUDIANTES 2017 II  </a:t>
            </a:r>
            <a:endParaRPr lang="es-CO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accent1">
                <a:lumMod val="60000"/>
                <a:lumOff val="40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'C.A'!$D$1:$I$1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'C.A'!$D$2:$I$2</c:f>
              <c:numCache>
                <c:formatCode>General</c:formatCode>
                <c:ptCount val="6"/>
                <c:pt idx="0">
                  <c:v>55.3</c:v>
                </c:pt>
                <c:pt idx="1">
                  <c:v>60.8</c:v>
                </c:pt>
                <c:pt idx="2">
                  <c:v>55.3</c:v>
                </c:pt>
                <c:pt idx="3">
                  <c:v>50.6</c:v>
                </c:pt>
                <c:pt idx="4">
                  <c:v>57.8</c:v>
                </c:pt>
                <c:pt idx="5">
                  <c:v>55.959999999999994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12-4F92-8ABF-C720A1DC13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90896"/>
        <c:axId val="-1808071312"/>
      </c:barChart>
      <c:catAx>
        <c:axId val="-180809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71312"/>
        <c:crosses val="autoZero"/>
        <c:auto val="1"/>
        <c:lblAlgn val="ctr"/>
        <c:lblOffset val="100"/>
        <c:noMultiLvlLbl val="0"/>
      </c:catAx>
      <c:valAx>
        <c:axId val="-180807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90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INGENIERIA AGRONÓMICA</a:t>
            </a:r>
          </a:p>
          <a:p>
            <a:pPr>
              <a:defRPr sz="1200"/>
            </a:pPr>
            <a:r>
              <a:rPr lang="en-US" sz="1200"/>
              <a:t>POBLACIÓN: 25 ESTUDIANTES 2017 II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tx2">
                <a:lumMod val="75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I.A!$D$1:$I$1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I.A!$D$2:$I$2</c:f>
              <c:numCache>
                <c:formatCode>General</c:formatCode>
                <c:ptCount val="6"/>
                <c:pt idx="0">
                  <c:v>48.3</c:v>
                </c:pt>
                <c:pt idx="1">
                  <c:v>51.6</c:v>
                </c:pt>
                <c:pt idx="2">
                  <c:v>50</c:v>
                </c:pt>
                <c:pt idx="3">
                  <c:v>48.5</c:v>
                </c:pt>
                <c:pt idx="4">
                  <c:v>50.6</c:v>
                </c:pt>
                <c:pt idx="5">
                  <c:v>49.8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67-4851-B056-62DF1D1D4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70224"/>
        <c:axId val="-1808060976"/>
      </c:barChart>
      <c:catAx>
        <c:axId val="-180807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60976"/>
        <c:crosses val="autoZero"/>
        <c:auto val="1"/>
        <c:lblAlgn val="ctr"/>
        <c:lblOffset val="100"/>
        <c:noMultiLvlLbl val="0"/>
      </c:catAx>
      <c:valAx>
        <c:axId val="-180806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702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PROMEDIO GENERAL POR ÁREA DEL CONOCIMIENTO </a:t>
            </a:r>
          </a:p>
          <a:p>
            <a:pPr>
              <a:defRPr/>
            </a:pPr>
            <a:r>
              <a:rPr lang="en-US" sz="1200"/>
              <a:t>PRUEBA SABER 11 2017 II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14-4455-9E27-39E374C8CBFF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14-4455-9E27-39E374C8CBFF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14-4455-9E27-39E374C8CBFF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14-4455-9E27-39E374C8CBFF}"/>
              </c:ext>
            </c:extLst>
          </c:dPt>
          <c:cat>
            <c:strRef>
              <c:f>'RESULTADOS GENERALES'!$D$1:$H$1</c:f>
              <c:strCache>
                <c:ptCount val="5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</c:strCache>
            </c:strRef>
          </c:cat>
          <c:val>
            <c:numRef>
              <c:f>'RESULTADOS GENERALES'!$D$21:$H$21</c:f>
              <c:numCache>
                <c:formatCode>0.0</c:formatCode>
                <c:ptCount val="5"/>
                <c:pt idx="0">
                  <c:v>52.563157894736854</c:v>
                </c:pt>
                <c:pt idx="1">
                  <c:v>53.521052631578954</c:v>
                </c:pt>
                <c:pt idx="2">
                  <c:v>52.699999999999996</c:v>
                </c:pt>
                <c:pt idx="3">
                  <c:v>52.721052631578942</c:v>
                </c:pt>
                <c:pt idx="4">
                  <c:v>55.015789473684208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14-4455-9E27-39E374C8C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38311984"/>
        <c:axId val="-1838315792"/>
      </c:barChart>
      <c:catAx>
        <c:axId val="-183831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38315792"/>
        <c:crosses val="autoZero"/>
        <c:auto val="1"/>
        <c:lblAlgn val="ctr"/>
        <c:lblOffset val="100"/>
        <c:noMultiLvlLbl val="0"/>
      </c:catAx>
      <c:valAx>
        <c:axId val="-1838315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383119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 algn="just"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INGENIERIA COMERCIAL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POBLACIÓN: 15 ESTUDIANTES 2017 II</a:t>
            </a:r>
            <a:endParaRPr lang="es-CO"/>
          </a:p>
        </c:rich>
      </c:tx>
      <c:layout>
        <c:manualLayout>
          <c:xMode val="edge"/>
          <c:yMode val="edge"/>
          <c:x val="0.30772959831633945"/>
          <c:y val="3.00107181136120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5409460914159923"/>
          <c:y val="0.22478500476829469"/>
          <c:w val="0.8029565659131318"/>
          <c:h val="0.53924549431321089"/>
        </c:manualLayout>
      </c:layout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accent6">
                <a:lumMod val="60000"/>
                <a:lumOff val="40000"/>
              </a:schemeClr>
            </a:solidFill>
            <a:ln w="25400" cap="flat" cmpd="sng" algn="ctr">
              <a:solidFill>
                <a:sysClr val="windowText" lastClr="000000"/>
              </a:solidFill>
              <a:prstDash val="solid"/>
            </a:ln>
            <a:effectLst/>
          </c:spPr>
          <c:invertIfNegative val="0"/>
          <c:cat>
            <c:strRef>
              <c:f>I.C!$D$1:$I$1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I.C!$D$2:$I$2</c:f>
              <c:numCache>
                <c:formatCode>General</c:formatCode>
                <c:ptCount val="6"/>
                <c:pt idx="0">
                  <c:v>53.6</c:v>
                </c:pt>
                <c:pt idx="1">
                  <c:v>53.3</c:v>
                </c:pt>
                <c:pt idx="2">
                  <c:v>51</c:v>
                </c:pt>
                <c:pt idx="3">
                  <c:v>56.7</c:v>
                </c:pt>
                <c:pt idx="4">
                  <c:v>50.6</c:v>
                </c:pt>
                <c:pt idx="5">
                  <c:v>53.040000000000006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D0-4443-B314-526326C9DB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64240"/>
        <c:axId val="-1808073488"/>
      </c:barChart>
      <c:catAx>
        <c:axId val="-180806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73488"/>
        <c:crosses val="autoZero"/>
        <c:auto val="1"/>
        <c:lblAlgn val="ctr"/>
        <c:lblOffset val="100"/>
        <c:noMultiLvlLbl val="0"/>
      </c:catAx>
      <c:valAx>
        <c:axId val="-180807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64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ING. GEOGRÁFICA Y AMBIENTAL</a:t>
            </a:r>
          </a:p>
          <a:p>
            <a:pPr>
              <a:defRPr/>
            </a:pPr>
            <a:r>
              <a:rPr lang="en-US" sz="1200"/>
              <a:t>POBLACIÓN: 20 ESTUDIANTES 2017 II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rgbClr val="FF000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IGA!$D$1:$I$1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IGA!$D$2:$I$2</c:f>
              <c:numCache>
                <c:formatCode>General</c:formatCode>
                <c:ptCount val="6"/>
                <c:pt idx="0">
                  <c:v>52.7</c:v>
                </c:pt>
                <c:pt idx="1">
                  <c:v>55.2</c:v>
                </c:pt>
                <c:pt idx="2">
                  <c:v>53.7</c:v>
                </c:pt>
                <c:pt idx="3">
                  <c:v>54.1</c:v>
                </c:pt>
                <c:pt idx="4">
                  <c:v>57.4</c:v>
                </c:pt>
                <c:pt idx="5">
                  <c:v>54.620000000000005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B6-44F8-A43A-DABB01D71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61520"/>
        <c:axId val="-1808069136"/>
      </c:barChart>
      <c:catAx>
        <c:axId val="-180806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69136"/>
        <c:crosses val="autoZero"/>
        <c:auto val="1"/>
        <c:lblAlgn val="ctr"/>
        <c:lblOffset val="100"/>
        <c:noMultiLvlLbl val="0"/>
      </c:catAx>
      <c:valAx>
        <c:axId val="-180806913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615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DERECHO  POBLACIÓN 21  </a:t>
            </a:r>
            <a:endParaRPr lang="es-CO" sz="1200">
              <a:effectLst/>
            </a:endParaRPr>
          </a:p>
          <a:p>
            <a:pPr>
              <a:defRPr/>
            </a:pPr>
            <a:r>
              <a:rPr lang="en-US" sz="1200" b="0" i="0" baseline="0">
                <a:effectLst/>
              </a:rPr>
              <a:t>ESTUDIANTES  2017 II</a:t>
            </a:r>
            <a:endParaRPr lang="es-CO" sz="1200">
              <a:effectLst/>
            </a:endParaRPr>
          </a:p>
          <a:p>
            <a:pPr>
              <a:defRPr/>
            </a:pPr>
            <a:endParaRPr lang="es-CO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accent1">
                <a:lumMod val="75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DERECHO!$D$1:$I$1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DERECHO!$D$2:$I$2</c:f>
              <c:numCache>
                <c:formatCode>General</c:formatCode>
                <c:ptCount val="6"/>
                <c:pt idx="0">
                  <c:v>50</c:v>
                </c:pt>
                <c:pt idx="1">
                  <c:v>46.7</c:v>
                </c:pt>
                <c:pt idx="2">
                  <c:v>47.5</c:v>
                </c:pt>
                <c:pt idx="3">
                  <c:v>49</c:v>
                </c:pt>
                <c:pt idx="4">
                  <c:v>46.3</c:v>
                </c:pt>
                <c:pt idx="5">
                  <c:v>47.9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46-43FF-9A81-AFEAFFE453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68048"/>
        <c:axId val="-1808066960"/>
      </c:barChart>
      <c:catAx>
        <c:axId val="-180806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66960"/>
        <c:crosses val="autoZero"/>
        <c:auto val="1"/>
        <c:lblAlgn val="ctr"/>
        <c:lblOffset val="100"/>
        <c:noMultiLvlLbl val="0"/>
      </c:catAx>
      <c:valAx>
        <c:axId val="-180806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68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O" sz="1200"/>
              <a:t>NEGOCIOS INTERNACIONALES </a:t>
            </a:r>
          </a:p>
          <a:p>
            <a:pPr>
              <a:defRPr/>
            </a:pPr>
            <a:r>
              <a:rPr lang="es-CO" sz="1200"/>
              <a:t>POBLACIÓN: 21 ESTUDIANTES 2017 II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rgbClr val="92D05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N.I.!$D$1:$I$1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N.I.!$D$2:$I$2</c:f>
              <c:numCache>
                <c:formatCode>General</c:formatCode>
                <c:ptCount val="6"/>
                <c:pt idx="0">
                  <c:v>50.3</c:v>
                </c:pt>
                <c:pt idx="1">
                  <c:v>49.5</c:v>
                </c:pt>
                <c:pt idx="2">
                  <c:v>48.4</c:v>
                </c:pt>
                <c:pt idx="3">
                  <c:v>51.4</c:v>
                </c:pt>
                <c:pt idx="4">
                  <c:v>52.6</c:v>
                </c:pt>
                <c:pt idx="5">
                  <c:v>50.44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03-4641-A7B5-056AE5772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062064"/>
        <c:axId val="-1807380080"/>
      </c:barChart>
      <c:catAx>
        <c:axId val="-180806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7380080"/>
        <c:crosses val="autoZero"/>
        <c:auto val="1"/>
        <c:lblAlgn val="ctr"/>
        <c:lblOffset val="100"/>
        <c:noMultiLvlLbl val="0"/>
      </c:catAx>
      <c:valAx>
        <c:axId val="-180738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062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 w="19050"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ADMINISTRACIÓN DE EMPRESAS </a:t>
            </a:r>
          </a:p>
          <a:p>
            <a:pPr>
              <a:defRPr sz="1200"/>
            </a:pPr>
            <a:r>
              <a:rPr lang="en-US" sz="1200"/>
              <a:t>POBLACIÓN : 9 ESTUDIANTES 2017 II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rgbClr val="C0000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'ADMON. EMPRE'!$D$1:$I$1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'ADMON. EMPRE'!$D$2:$I$2</c:f>
              <c:numCache>
                <c:formatCode>General</c:formatCode>
                <c:ptCount val="6"/>
                <c:pt idx="0">
                  <c:v>47.7</c:v>
                </c:pt>
                <c:pt idx="1">
                  <c:v>49.7</c:v>
                </c:pt>
                <c:pt idx="2">
                  <c:v>48</c:v>
                </c:pt>
                <c:pt idx="3">
                  <c:v>48.4</c:v>
                </c:pt>
                <c:pt idx="4">
                  <c:v>52.7</c:v>
                </c:pt>
                <c:pt idx="5">
                  <c:v>49.3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72-4FDD-9CC6-DA5F0B749B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7381168"/>
        <c:axId val="-1807393680"/>
      </c:barChart>
      <c:catAx>
        <c:axId val="-180738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7393680"/>
        <c:crosses val="autoZero"/>
        <c:auto val="1"/>
        <c:lblAlgn val="ctr"/>
        <c:lblOffset val="100"/>
        <c:noMultiLvlLbl val="0"/>
      </c:catAx>
      <c:valAx>
        <c:axId val="-180739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7381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O" sz="1200"/>
              <a:t>LICENCIATURA</a:t>
            </a:r>
            <a:r>
              <a:rPr lang="es-CO" sz="1200" baseline="0"/>
              <a:t> EN CIENCIAS NATURALES</a:t>
            </a:r>
            <a:endParaRPr lang="es-CO" sz="1200"/>
          </a:p>
          <a:p>
            <a:pPr algn="ctr" rtl="0">
              <a:defRPr/>
            </a:pPr>
            <a:r>
              <a:rPr lang="en-US" sz="1200"/>
              <a:t>POBLACIÓN: 5  ESTUDIANTES 2017 II </a:t>
            </a:r>
            <a:endParaRPr lang="es-CO" sz="1200"/>
          </a:p>
          <a:p>
            <a:pPr algn="ctr" rtl="0">
              <a:defRPr/>
            </a:pPr>
            <a:endParaRPr lang="es-CO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accent1">
                <a:lumMod val="75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L.C.N!$D$1:$I$1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L.C.N!$D$2:$I$2</c:f>
              <c:numCache>
                <c:formatCode>General</c:formatCode>
                <c:ptCount val="6"/>
                <c:pt idx="0">
                  <c:v>47.5</c:v>
                </c:pt>
                <c:pt idx="1">
                  <c:v>51.4</c:v>
                </c:pt>
                <c:pt idx="2">
                  <c:v>45.6</c:v>
                </c:pt>
                <c:pt idx="3">
                  <c:v>46.5</c:v>
                </c:pt>
                <c:pt idx="4">
                  <c:v>48.9</c:v>
                </c:pt>
                <c:pt idx="5">
                  <c:v>47.980000000000004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0B-442B-A115-742801AD3D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643664"/>
        <c:axId val="-1808637136"/>
      </c:barChart>
      <c:catAx>
        <c:axId val="-180864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37136"/>
        <c:crosses val="autoZero"/>
        <c:auto val="1"/>
        <c:lblAlgn val="ctr"/>
        <c:lblOffset val="100"/>
        <c:noMultiLvlLbl val="0"/>
      </c:catAx>
      <c:valAx>
        <c:axId val="-180863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436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CONTADURÍA PUBLICA</a:t>
            </a:r>
          </a:p>
          <a:p>
            <a:pPr>
              <a:defRPr/>
            </a:pPr>
            <a:r>
              <a:rPr lang="en-US" sz="1100"/>
              <a:t>POBLACIÓN: 2 ESTUDIANTES 2017 II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rgbClr val="FFFF0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'C.P.'!$D$1:$I$1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'C.P.'!$D$2:$I$2</c:f>
              <c:numCache>
                <c:formatCode>General</c:formatCode>
                <c:ptCount val="6"/>
                <c:pt idx="0">
                  <c:v>45.6</c:v>
                </c:pt>
                <c:pt idx="1">
                  <c:v>53.6</c:v>
                </c:pt>
                <c:pt idx="2">
                  <c:v>51.5</c:v>
                </c:pt>
                <c:pt idx="3">
                  <c:v>48.5</c:v>
                </c:pt>
                <c:pt idx="4">
                  <c:v>55</c:v>
                </c:pt>
                <c:pt idx="5">
                  <c:v>50.839999999999996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0F-4D2A-A677-646A002D0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7395312"/>
        <c:axId val="-1807394768"/>
      </c:barChart>
      <c:catAx>
        <c:axId val="-180739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7394768"/>
        <c:crosses val="autoZero"/>
        <c:auto val="1"/>
        <c:lblAlgn val="ctr"/>
        <c:lblOffset val="100"/>
        <c:noMultiLvlLbl val="0"/>
      </c:catAx>
      <c:valAx>
        <c:axId val="-180739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7395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PROMEDIO LECTURA CRITICA POR PROGRAMA</a:t>
            </a:r>
          </a:p>
          <a:p>
            <a:pPr>
              <a:defRPr sz="1200"/>
            </a:pPr>
            <a:r>
              <a:rPr lang="en-US" sz="1200"/>
              <a:t>PRUEBA SABER 11   2017 II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rgbClr val="92D050"/>
            </a:solidFill>
            <a:ln w="9525" cap="flat" cmpd="sng" algn="ctr">
              <a:solidFill>
                <a:sysClr val="windowText" lastClr="000000"/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trendline>
            <c:spPr>
              <a:ln w="1905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rendlineType val="linear"/>
            <c:dispRSqr val="0"/>
            <c:dispEq val="0"/>
          </c:trendline>
          <c:cat>
            <c:strRef>
              <c:f>'RESULTADOS GENERALES'!$B$2:$B$21</c:f>
              <c:strCache>
                <c:ptCount val="20"/>
                <c:pt idx="0">
                  <c:v>V</c:v>
                </c:pt>
                <c:pt idx="1">
                  <c:v>Z</c:v>
                </c:pt>
                <c:pt idx="2">
                  <c:v>MVZ</c:v>
                </c:pt>
                <c:pt idx="3">
                  <c:v>MVZ C. </c:v>
                </c:pt>
                <c:pt idx="4">
                  <c:v>Q.F</c:v>
                </c:pt>
                <c:pt idx="5">
                  <c:v>C.D</c:v>
                </c:pt>
                <c:pt idx="6">
                  <c:v>E.D</c:v>
                </c:pt>
                <c:pt idx="7">
                  <c:v>MH</c:v>
                </c:pt>
                <c:pt idx="8">
                  <c:v>ENF</c:v>
                </c:pt>
                <c:pt idx="9">
                  <c:v>C.A</c:v>
                </c:pt>
                <c:pt idx="10">
                  <c:v>I.A</c:v>
                </c:pt>
                <c:pt idx="11">
                  <c:v>I.C</c:v>
                </c:pt>
                <c:pt idx="12">
                  <c:v>I.G.A.</c:v>
                </c:pt>
                <c:pt idx="13">
                  <c:v>Q </c:v>
                </c:pt>
                <c:pt idx="14">
                  <c:v>DER</c:v>
                </c:pt>
                <c:pt idx="15">
                  <c:v>N.I</c:v>
                </c:pt>
                <c:pt idx="16">
                  <c:v>A.E</c:v>
                </c:pt>
                <c:pt idx="17">
                  <c:v>L.C.N</c:v>
                </c:pt>
                <c:pt idx="18">
                  <c:v>C.P</c:v>
                </c:pt>
                <c:pt idx="19">
                  <c:v>PROM. GEN.</c:v>
                </c:pt>
              </c:strCache>
            </c:strRef>
          </c:cat>
          <c:val>
            <c:numRef>
              <c:f>'RESULTADOS GENERALES'!$D$2:$D$21</c:f>
              <c:numCache>
                <c:formatCode>General</c:formatCode>
                <c:ptCount val="20"/>
                <c:pt idx="0">
                  <c:v>56.2</c:v>
                </c:pt>
                <c:pt idx="1">
                  <c:v>52</c:v>
                </c:pt>
                <c:pt idx="2">
                  <c:v>54.1</c:v>
                </c:pt>
                <c:pt idx="3">
                  <c:v>48.4</c:v>
                </c:pt>
                <c:pt idx="4">
                  <c:v>60.7</c:v>
                </c:pt>
                <c:pt idx="5">
                  <c:v>55.5</c:v>
                </c:pt>
                <c:pt idx="6">
                  <c:v>48.1</c:v>
                </c:pt>
                <c:pt idx="7">
                  <c:v>63.3</c:v>
                </c:pt>
                <c:pt idx="8">
                  <c:v>52.7</c:v>
                </c:pt>
                <c:pt idx="9">
                  <c:v>55.3</c:v>
                </c:pt>
                <c:pt idx="10">
                  <c:v>48.3</c:v>
                </c:pt>
                <c:pt idx="11">
                  <c:v>53.6</c:v>
                </c:pt>
                <c:pt idx="12">
                  <c:v>52.7</c:v>
                </c:pt>
                <c:pt idx="13">
                  <c:v>56.7</c:v>
                </c:pt>
                <c:pt idx="14">
                  <c:v>50</c:v>
                </c:pt>
                <c:pt idx="15">
                  <c:v>50.3</c:v>
                </c:pt>
                <c:pt idx="16">
                  <c:v>47.7</c:v>
                </c:pt>
                <c:pt idx="17">
                  <c:v>47.5</c:v>
                </c:pt>
                <c:pt idx="18">
                  <c:v>45.6</c:v>
                </c:pt>
                <c:pt idx="19" formatCode="0.0">
                  <c:v>52.563157894736854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23-41FB-84E0-69C954CE52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38321776"/>
        <c:axId val="-1838319600"/>
      </c:barChart>
      <c:catAx>
        <c:axId val="-183832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38319600"/>
        <c:crosses val="autoZero"/>
        <c:auto val="1"/>
        <c:lblAlgn val="ctr"/>
        <c:lblOffset val="100"/>
        <c:noMultiLvlLbl val="0"/>
      </c:catAx>
      <c:valAx>
        <c:axId val="-183831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38321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 PROMEDIO COMPETENCIAS CIUDADANAS </a:t>
            </a:r>
          </a:p>
          <a:p>
            <a:pPr>
              <a:defRPr sz="1200"/>
            </a:pPr>
            <a:r>
              <a:rPr lang="en-US" sz="1200"/>
              <a:t>POR PROGRAMA PRUEBA SABER 11   2017 II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rgbClr val="FFC00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trendline>
            <c:spPr>
              <a:ln w="1905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rendlineType val="linear"/>
            <c:dispRSqr val="0"/>
            <c:dispEq val="0"/>
          </c:trendline>
          <c:cat>
            <c:strRef>
              <c:f>'RESULTADOS GENERALES'!$B$2:$B$21</c:f>
              <c:strCache>
                <c:ptCount val="20"/>
                <c:pt idx="0">
                  <c:v>V</c:v>
                </c:pt>
                <c:pt idx="1">
                  <c:v>Z</c:v>
                </c:pt>
                <c:pt idx="2">
                  <c:v>MVZ</c:v>
                </c:pt>
                <c:pt idx="3">
                  <c:v>MVZ C. </c:v>
                </c:pt>
                <c:pt idx="4">
                  <c:v>Q.F</c:v>
                </c:pt>
                <c:pt idx="5">
                  <c:v>C.D</c:v>
                </c:pt>
                <c:pt idx="6">
                  <c:v>E.D</c:v>
                </c:pt>
                <c:pt idx="7">
                  <c:v>MH</c:v>
                </c:pt>
                <c:pt idx="8">
                  <c:v>ENF</c:v>
                </c:pt>
                <c:pt idx="9">
                  <c:v>C.A</c:v>
                </c:pt>
                <c:pt idx="10">
                  <c:v>I.A</c:v>
                </c:pt>
                <c:pt idx="11">
                  <c:v>I.C</c:v>
                </c:pt>
                <c:pt idx="12">
                  <c:v>I.G.A.</c:v>
                </c:pt>
                <c:pt idx="13">
                  <c:v>Q </c:v>
                </c:pt>
                <c:pt idx="14">
                  <c:v>DER</c:v>
                </c:pt>
                <c:pt idx="15">
                  <c:v>N.I</c:v>
                </c:pt>
                <c:pt idx="16">
                  <c:v>A.E</c:v>
                </c:pt>
                <c:pt idx="17">
                  <c:v>L.C.N</c:v>
                </c:pt>
                <c:pt idx="18">
                  <c:v>C.P</c:v>
                </c:pt>
                <c:pt idx="19">
                  <c:v>PROM. GEN.</c:v>
                </c:pt>
              </c:strCache>
            </c:strRef>
          </c:cat>
          <c:val>
            <c:numRef>
              <c:f>'RESULTADOS GENERALES'!$E$2:$E$21</c:f>
              <c:numCache>
                <c:formatCode>General</c:formatCode>
                <c:ptCount val="20"/>
                <c:pt idx="0">
                  <c:v>56</c:v>
                </c:pt>
                <c:pt idx="1">
                  <c:v>53.2</c:v>
                </c:pt>
                <c:pt idx="2">
                  <c:v>53.7</c:v>
                </c:pt>
                <c:pt idx="3">
                  <c:v>42.1</c:v>
                </c:pt>
                <c:pt idx="4">
                  <c:v>59.3</c:v>
                </c:pt>
                <c:pt idx="5">
                  <c:v>56.3</c:v>
                </c:pt>
                <c:pt idx="6">
                  <c:v>48.4</c:v>
                </c:pt>
                <c:pt idx="7">
                  <c:v>64.7</c:v>
                </c:pt>
                <c:pt idx="8">
                  <c:v>53.8</c:v>
                </c:pt>
                <c:pt idx="9">
                  <c:v>60.8</c:v>
                </c:pt>
                <c:pt idx="10">
                  <c:v>51.6</c:v>
                </c:pt>
                <c:pt idx="11">
                  <c:v>53.3</c:v>
                </c:pt>
                <c:pt idx="12">
                  <c:v>55.2</c:v>
                </c:pt>
                <c:pt idx="13">
                  <c:v>57.6</c:v>
                </c:pt>
                <c:pt idx="14">
                  <c:v>46.7</c:v>
                </c:pt>
                <c:pt idx="15">
                  <c:v>49.5</c:v>
                </c:pt>
                <c:pt idx="16">
                  <c:v>49.7</c:v>
                </c:pt>
                <c:pt idx="17">
                  <c:v>51.4</c:v>
                </c:pt>
                <c:pt idx="18">
                  <c:v>53.6</c:v>
                </c:pt>
                <c:pt idx="19" formatCode="0.0">
                  <c:v>53.521052631578954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8D-4B90-BECA-EE69C5F843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38317424"/>
        <c:axId val="-1838316880"/>
      </c:barChart>
      <c:catAx>
        <c:axId val="-183831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38316880"/>
        <c:crosses val="autoZero"/>
        <c:auto val="1"/>
        <c:lblAlgn val="ctr"/>
        <c:lblOffset val="100"/>
        <c:noMultiLvlLbl val="0"/>
      </c:catAx>
      <c:valAx>
        <c:axId val="-183831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383174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 PROMEDIO CIENCIAS NATURALES</a:t>
            </a:r>
          </a:p>
          <a:p>
            <a:pPr>
              <a:defRPr sz="1200"/>
            </a:pPr>
            <a:r>
              <a:rPr lang="en-US" sz="1200"/>
              <a:t>POR PROGRAMA PRUEBA SABER 11   2017 II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PROMEDIO</c:v>
          </c:tx>
          <c:spPr>
            <a:solidFill>
              <a:schemeClr val="accent2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trendline>
            <c:spPr>
              <a:ln w="1905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rendlineType val="linear"/>
            <c:dispRSqr val="0"/>
            <c:dispEq val="0"/>
          </c:trendline>
          <c:cat>
            <c:strRef>
              <c:f>'RESULTADOS GENERALES'!$B$2:$B$21</c:f>
              <c:strCache>
                <c:ptCount val="20"/>
                <c:pt idx="0">
                  <c:v>V</c:v>
                </c:pt>
                <c:pt idx="1">
                  <c:v>Z</c:v>
                </c:pt>
                <c:pt idx="2">
                  <c:v>MVZ</c:v>
                </c:pt>
                <c:pt idx="3">
                  <c:v>MVZ C. </c:v>
                </c:pt>
                <c:pt idx="4">
                  <c:v>Q.F</c:v>
                </c:pt>
                <c:pt idx="5">
                  <c:v>C.D</c:v>
                </c:pt>
                <c:pt idx="6">
                  <c:v>E.D</c:v>
                </c:pt>
                <c:pt idx="7">
                  <c:v>MH</c:v>
                </c:pt>
                <c:pt idx="8">
                  <c:v>ENF</c:v>
                </c:pt>
                <c:pt idx="9">
                  <c:v>C.A</c:v>
                </c:pt>
                <c:pt idx="10">
                  <c:v>I.A</c:v>
                </c:pt>
                <c:pt idx="11">
                  <c:v>I.C</c:v>
                </c:pt>
                <c:pt idx="12">
                  <c:v>I.G.A.</c:v>
                </c:pt>
                <c:pt idx="13">
                  <c:v>Q </c:v>
                </c:pt>
                <c:pt idx="14">
                  <c:v>DER</c:v>
                </c:pt>
                <c:pt idx="15">
                  <c:v>N.I</c:v>
                </c:pt>
                <c:pt idx="16">
                  <c:v>A.E</c:v>
                </c:pt>
                <c:pt idx="17">
                  <c:v>L.C.N</c:v>
                </c:pt>
                <c:pt idx="18">
                  <c:v>C.P</c:v>
                </c:pt>
                <c:pt idx="19">
                  <c:v>PROM. GEN.</c:v>
                </c:pt>
              </c:strCache>
            </c:strRef>
          </c:cat>
          <c:val>
            <c:numRef>
              <c:f>'RESULTADOS GENERALES'!$F$2:$F$21</c:f>
              <c:numCache>
                <c:formatCode>General</c:formatCode>
                <c:ptCount val="20"/>
                <c:pt idx="0">
                  <c:v>55.2</c:v>
                </c:pt>
                <c:pt idx="1">
                  <c:v>50.6</c:v>
                </c:pt>
                <c:pt idx="2">
                  <c:v>54.5</c:v>
                </c:pt>
                <c:pt idx="3">
                  <c:v>48.6</c:v>
                </c:pt>
                <c:pt idx="4">
                  <c:v>61.5</c:v>
                </c:pt>
                <c:pt idx="5">
                  <c:v>54.8</c:v>
                </c:pt>
                <c:pt idx="6">
                  <c:v>47.6</c:v>
                </c:pt>
                <c:pt idx="7">
                  <c:v>64.7</c:v>
                </c:pt>
                <c:pt idx="8">
                  <c:v>53</c:v>
                </c:pt>
                <c:pt idx="9">
                  <c:v>55.3</c:v>
                </c:pt>
                <c:pt idx="10">
                  <c:v>50</c:v>
                </c:pt>
                <c:pt idx="11">
                  <c:v>51</c:v>
                </c:pt>
                <c:pt idx="12">
                  <c:v>53.7</c:v>
                </c:pt>
                <c:pt idx="13">
                  <c:v>59.8</c:v>
                </c:pt>
                <c:pt idx="14">
                  <c:v>47.5</c:v>
                </c:pt>
                <c:pt idx="15">
                  <c:v>48.4</c:v>
                </c:pt>
                <c:pt idx="16">
                  <c:v>48</c:v>
                </c:pt>
                <c:pt idx="17">
                  <c:v>45.6</c:v>
                </c:pt>
                <c:pt idx="18">
                  <c:v>51.5</c:v>
                </c:pt>
                <c:pt idx="19" formatCode="0.0">
                  <c:v>52.699999999999996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D0-470D-AB7F-89242C1B6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7128624"/>
        <c:axId val="-1903287088"/>
      </c:barChart>
      <c:catAx>
        <c:axId val="-6712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903287088"/>
        <c:crosses val="autoZero"/>
        <c:auto val="1"/>
        <c:lblAlgn val="ctr"/>
        <c:lblOffset val="100"/>
        <c:noMultiLvlLbl val="0"/>
      </c:catAx>
      <c:valAx>
        <c:axId val="-190328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67128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PROMEDIO MATEMÁTICAS</a:t>
            </a:r>
            <a:endParaRPr lang="es-CO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POR PROGRAMA PRUEBA SABER 11   2017 II</a:t>
            </a:r>
            <a:br>
              <a:rPr lang="en-US" sz="1200" b="0" i="0" baseline="0">
                <a:effectLst/>
              </a:rPr>
            </a:br>
            <a:endParaRPr lang="es-CO" sz="1200">
              <a:effectLst/>
            </a:endParaRPr>
          </a:p>
          <a:p>
            <a:pPr>
              <a:defRPr sz="1200"/>
            </a:pPr>
            <a:endParaRPr lang="es-CO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9787970253718284"/>
          <c:y val="0.21574074074074071"/>
          <c:w val="0.77156474190726154"/>
          <c:h val="0.52883493729950426"/>
        </c:manualLayout>
      </c:layout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rgbClr val="0070C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trendline>
            <c:spPr>
              <a:ln w="1905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rendlineType val="linear"/>
            <c:dispRSqr val="0"/>
            <c:dispEq val="0"/>
          </c:trendline>
          <c:cat>
            <c:strRef>
              <c:f>'RESULTADOS GENERALES'!$B$2:$B$21</c:f>
              <c:strCache>
                <c:ptCount val="20"/>
                <c:pt idx="0">
                  <c:v>V</c:v>
                </c:pt>
                <c:pt idx="1">
                  <c:v>Z</c:v>
                </c:pt>
                <c:pt idx="2">
                  <c:v>MVZ</c:v>
                </c:pt>
                <c:pt idx="3">
                  <c:v>MVZ C. </c:v>
                </c:pt>
                <c:pt idx="4">
                  <c:v>Q.F</c:v>
                </c:pt>
                <c:pt idx="5">
                  <c:v>C.D</c:v>
                </c:pt>
                <c:pt idx="6">
                  <c:v>E.D</c:v>
                </c:pt>
                <c:pt idx="7">
                  <c:v>MH</c:v>
                </c:pt>
                <c:pt idx="8">
                  <c:v>ENF</c:v>
                </c:pt>
                <c:pt idx="9">
                  <c:v>C.A</c:v>
                </c:pt>
                <c:pt idx="10">
                  <c:v>I.A</c:v>
                </c:pt>
                <c:pt idx="11">
                  <c:v>I.C</c:v>
                </c:pt>
                <c:pt idx="12">
                  <c:v>I.G.A.</c:v>
                </c:pt>
                <c:pt idx="13">
                  <c:v>Q </c:v>
                </c:pt>
                <c:pt idx="14">
                  <c:v>DER</c:v>
                </c:pt>
                <c:pt idx="15">
                  <c:v>N.I</c:v>
                </c:pt>
                <c:pt idx="16">
                  <c:v>A.E</c:v>
                </c:pt>
                <c:pt idx="17">
                  <c:v>L.C.N</c:v>
                </c:pt>
                <c:pt idx="18">
                  <c:v>C.P</c:v>
                </c:pt>
                <c:pt idx="19">
                  <c:v>PROM. GEN.</c:v>
                </c:pt>
              </c:strCache>
            </c:strRef>
          </c:cat>
          <c:val>
            <c:numRef>
              <c:f>'RESULTADOS GENERALES'!$G$2:$G$21</c:f>
              <c:numCache>
                <c:formatCode>General</c:formatCode>
                <c:ptCount val="20"/>
                <c:pt idx="0">
                  <c:v>55.4</c:v>
                </c:pt>
                <c:pt idx="1">
                  <c:v>50.4</c:v>
                </c:pt>
                <c:pt idx="2">
                  <c:v>55.4</c:v>
                </c:pt>
                <c:pt idx="3">
                  <c:v>43.6</c:v>
                </c:pt>
                <c:pt idx="4">
                  <c:v>62.5</c:v>
                </c:pt>
                <c:pt idx="5">
                  <c:v>57.1</c:v>
                </c:pt>
                <c:pt idx="6">
                  <c:v>48</c:v>
                </c:pt>
                <c:pt idx="7">
                  <c:v>64.400000000000006</c:v>
                </c:pt>
                <c:pt idx="8">
                  <c:v>53.2</c:v>
                </c:pt>
                <c:pt idx="9">
                  <c:v>50.6</c:v>
                </c:pt>
                <c:pt idx="10">
                  <c:v>48.5</c:v>
                </c:pt>
                <c:pt idx="11">
                  <c:v>56.7</c:v>
                </c:pt>
                <c:pt idx="12">
                  <c:v>54.1</c:v>
                </c:pt>
                <c:pt idx="13">
                  <c:v>58</c:v>
                </c:pt>
                <c:pt idx="14">
                  <c:v>49</c:v>
                </c:pt>
                <c:pt idx="15">
                  <c:v>51.4</c:v>
                </c:pt>
                <c:pt idx="16">
                  <c:v>48.4</c:v>
                </c:pt>
                <c:pt idx="17">
                  <c:v>46.5</c:v>
                </c:pt>
                <c:pt idx="18">
                  <c:v>48.5</c:v>
                </c:pt>
                <c:pt idx="19" formatCode="0.0">
                  <c:v>52.721052631578942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45-47BE-BC0D-16FAE6B4BA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649104"/>
        <c:axId val="-1808648560"/>
      </c:barChart>
      <c:catAx>
        <c:axId val="-180864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48560"/>
        <c:crosses val="autoZero"/>
        <c:auto val="1"/>
        <c:lblAlgn val="ctr"/>
        <c:lblOffset val="100"/>
        <c:noMultiLvlLbl val="0"/>
      </c:catAx>
      <c:valAx>
        <c:axId val="-180864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491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PROMEDIO INGLÉS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POR PROGRAMA PRUEBA SABER 11 2017 II</a:t>
            </a:r>
            <a:endParaRPr lang="es-CO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rgbClr val="92D05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trendline>
            <c:spPr>
              <a:ln w="1905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rendlineType val="linear"/>
            <c:dispRSqr val="0"/>
            <c:dispEq val="0"/>
          </c:trendline>
          <c:cat>
            <c:strRef>
              <c:f>'RESULTADOS GENERALES'!$B$2:$B$21</c:f>
              <c:strCache>
                <c:ptCount val="20"/>
                <c:pt idx="0">
                  <c:v>V</c:v>
                </c:pt>
                <c:pt idx="1">
                  <c:v>Z</c:v>
                </c:pt>
                <c:pt idx="2">
                  <c:v>MVZ</c:v>
                </c:pt>
                <c:pt idx="3">
                  <c:v>MVZ C. </c:v>
                </c:pt>
                <c:pt idx="4">
                  <c:v>Q.F</c:v>
                </c:pt>
                <c:pt idx="5">
                  <c:v>C.D</c:v>
                </c:pt>
                <c:pt idx="6">
                  <c:v>E.D</c:v>
                </c:pt>
                <c:pt idx="7">
                  <c:v>MH</c:v>
                </c:pt>
                <c:pt idx="8">
                  <c:v>ENF</c:v>
                </c:pt>
                <c:pt idx="9">
                  <c:v>C.A</c:v>
                </c:pt>
                <c:pt idx="10">
                  <c:v>I.A</c:v>
                </c:pt>
                <c:pt idx="11">
                  <c:v>I.C</c:v>
                </c:pt>
                <c:pt idx="12">
                  <c:v>I.G.A.</c:v>
                </c:pt>
                <c:pt idx="13">
                  <c:v>Q </c:v>
                </c:pt>
                <c:pt idx="14">
                  <c:v>DER</c:v>
                </c:pt>
                <c:pt idx="15">
                  <c:v>N.I</c:v>
                </c:pt>
                <c:pt idx="16">
                  <c:v>A.E</c:v>
                </c:pt>
                <c:pt idx="17">
                  <c:v>L.C.N</c:v>
                </c:pt>
                <c:pt idx="18">
                  <c:v>C.P</c:v>
                </c:pt>
                <c:pt idx="19">
                  <c:v>PROM. GEN.</c:v>
                </c:pt>
              </c:strCache>
            </c:strRef>
          </c:cat>
          <c:val>
            <c:numRef>
              <c:f>'RESULTADOS GENERALES'!$H$2:$H$21</c:f>
              <c:numCache>
                <c:formatCode>General</c:formatCode>
                <c:ptCount val="20"/>
                <c:pt idx="0">
                  <c:v>60.3</c:v>
                </c:pt>
                <c:pt idx="1">
                  <c:v>53</c:v>
                </c:pt>
                <c:pt idx="2">
                  <c:v>60.3</c:v>
                </c:pt>
                <c:pt idx="3">
                  <c:v>47.4</c:v>
                </c:pt>
                <c:pt idx="4">
                  <c:v>62.9</c:v>
                </c:pt>
                <c:pt idx="5">
                  <c:v>59</c:v>
                </c:pt>
                <c:pt idx="6">
                  <c:v>47.3</c:v>
                </c:pt>
                <c:pt idx="7">
                  <c:v>67.8</c:v>
                </c:pt>
                <c:pt idx="8">
                  <c:v>52.5</c:v>
                </c:pt>
                <c:pt idx="9">
                  <c:v>57.8</c:v>
                </c:pt>
                <c:pt idx="10">
                  <c:v>50.6</c:v>
                </c:pt>
                <c:pt idx="11">
                  <c:v>50.6</c:v>
                </c:pt>
                <c:pt idx="12">
                  <c:v>57.4</c:v>
                </c:pt>
                <c:pt idx="13">
                  <c:v>62.9</c:v>
                </c:pt>
                <c:pt idx="14">
                  <c:v>46.3</c:v>
                </c:pt>
                <c:pt idx="15">
                  <c:v>52.6</c:v>
                </c:pt>
                <c:pt idx="16">
                  <c:v>52.7</c:v>
                </c:pt>
                <c:pt idx="17">
                  <c:v>48.9</c:v>
                </c:pt>
                <c:pt idx="18">
                  <c:v>55</c:v>
                </c:pt>
                <c:pt idx="19" formatCode="0.0">
                  <c:v>55.015789473684208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3B-4C41-9A83-77554FF4F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646384"/>
        <c:axId val="-1808647472"/>
      </c:barChart>
      <c:catAx>
        <c:axId val="-180864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47472"/>
        <c:crosses val="autoZero"/>
        <c:auto val="1"/>
        <c:lblAlgn val="ctr"/>
        <c:lblOffset val="100"/>
        <c:noMultiLvlLbl val="0"/>
      </c:catAx>
      <c:valAx>
        <c:axId val="-180864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463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O" sz="1200"/>
              <a:t>VETERINARIA  </a:t>
            </a:r>
          </a:p>
          <a:p>
            <a:pPr algn="ctr" rtl="0">
              <a:defRPr/>
            </a:pPr>
            <a:r>
              <a:rPr lang="en-US" sz="1200"/>
              <a:t>POBLACIÓN:71 ESTUDIANTES 2017 II </a:t>
            </a:r>
            <a:endParaRPr lang="es-CO" sz="1200"/>
          </a:p>
          <a:p>
            <a:pPr algn="ctr" rtl="0">
              <a:defRPr/>
            </a:pPr>
            <a:endParaRPr lang="es-CO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chemeClr val="accent1">
                <a:lumMod val="75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MV!$D$1:$I$1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MV!$D$2:$I$2</c:f>
              <c:numCache>
                <c:formatCode>General</c:formatCode>
                <c:ptCount val="6"/>
                <c:pt idx="0">
                  <c:v>56.2</c:v>
                </c:pt>
                <c:pt idx="1">
                  <c:v>56</c:v>
                </c:pt>
                <c:pt idx="2">
                  <c:v>55.2</c:v>
                </c:pt>
                <c:pt idx="3">
                  <c:v>55.4</c:v>
                </c:pt>
                <c:pt idx="4">
                  <c:v>60.3</c:v>
                </c:pt>
                <c:pt idx="5">
                  <c:v>56.620000000000005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9C-4D45-9A29-E9677E9C3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643664"/>
        <c:axId val="-1808637136"/>
      </c:barChart>
      <c:catAx>
        <c:axId val="-180864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37136"/>
        <c:crosses val="autoZero"/>
        <c:auto val="1"/>
        <c:lblAlgn val="ctr"/>
        <c:lblOffset val="100"/>
        <c:noMultiLvlLbl val="0"/>
      </c:catAx>
      <c:valAx>
        <c:axId val="-180863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436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O" sz="1200" b="0" i="0" baseline="0">
                <a:effectLst/>
              </a:rPr>
              <a:t>ZOOTECNIA  </a:t>
            </a:r>
            <a:endParaRPr lang="es-CO" sz="1200">
              <a:effectLst/>
            </a:endParaRPr>
          </a:p>
          <a:p>
            <a:pPr>
              <a:defRPr/>
            </a:pPr>
            <a:r>
              <a:rPr lang="en-US" sz="1200" b="0" i="0" baseline="0">
                <a:effectLst/>
              </a:rPr>
              <a:t>POBLACIÓN: 21  ESTUDIANTES 2017 II </a:t>
            </a:r>
            <a:endParaRPr lang="es-CO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PROMEDIO</c:v>
          </c:tx>
          <c:spPr>
            <a:solidFill>
              <a:srgbClr val="92D05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ZOOTECNIA!$D$1:$I$1</c:f>
              <c:strCache>
                <c:ptCount val="6"/>
                <c:pt idx="0">
                  <c:v>L. CRITICA</c:v>
                </c:pt>
                <c:pt idx="1">
                  <c:v>COM CIUD.</c:v>
                </c:pt>
                <c:pt idx="2">
                  <c:v>C. NATUR.</c:v>
                </c:pt>
                <c:pt idx="3">
                  <c:v>MATEM.</c:v>
                </c:pt>
                <c:pt idx="4">
                  <c:v>INGLES</c:v>
                </c:pt>
                <c:pt idx="5">
                  <c:v>PROM. GEN.</c:v>
                </c:pt>
              </c:strCache>
            </c:strRef>
          </c:cat>
          <c:val>
            <c:numRef>
              <c:f>ZOOTECNIA!$D$2:$I$2</c:f>
              <c:numCache>
                <c:formatCode>General</c:formatCode>
                <c:ptCount val="6"/>
                <c:pt idx="0">
                  <c:v>52</c:v>
                </c:pt>
                <c:pt idx="1">
                  <c:v>53.2</c:v>
                </c:pt>
                <c:pt idx="2">
                  <c:v>50.6</c:v>
                </c:pt>
                <c:pt idx="3">
                  <c:v>50.4</c:v>
                </c:pt>
                <c:pt idx="4">
                  <c:v>53</c:v>
                </c:pt>
                <c:pt idx="5">
                  <c:v>51.840000000000011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B4-408B-8D51-D5388D7687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8641488"/>
        <c:axId val="-1808644752"/>
      </c:barChart>
      <c:catAx>
        <c:axId val="-180864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44752"/>
        <c:crosses val="autoZero"/>
        <c:auto val="1"/>
        <c:lblAlgn val="ctr"/>
        <c:lblOffset val="100"/>
        <c:noMultiLvlLbl val="0"/>
      </c:catAx>
      <c:valAx>
        <c:axId val="-180864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808641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5A1A-7298-42F8-872C-A6782F75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15</Pages>
  <Words>2610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 Barragan alvarado</dc:creator>
  <cp:keywords/>
  <dc:description/>
  <cp:lastModifiedBy>MARLEN AGUILAR CHAUTA</cp:lastModifiedBy>
  <cp:revision>66</cp:revision>
  <dcterms:created xsi:type="dcterms:W3CDTF">2017-08-22T16:57:00Z</dcterms:created>
  <dcterms:modified xsi:type="dcterms:W3CDTF">2017-10-24T12:52:00Z</dcterms:modified>
</cp:coreProperties>
</file>